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76" w:lineRule="auto"/>
        <w:rPr>
          <w:rFonts w:ascii="Times New Roman" w:cs="Times New Roman" w:eastAsia="Times New Roman" w:hAnsi="Times New Roman"/>
          <w:color w:val="000000"/>
          <w:sz w:val="28"/>
          <w:szCs w:val="28"/>
        </w:rPr>
      </w:pPr>
      <w:r w:rsidDel="00000000" w:rsidR="00000000" w:rsidRPr="00000000">
        <w:rPr>
          <w:rtl w:val="0"/>
        </w:rPr>
      </w:r>
    </w:p>
    <w:tbl>
      <w:tblPr>
        <w:tblStyle w:val="Table1"/>
        <w:tblW w:w="10456.999999999998" w:type="dxa"/>
        <w:jc w:val="left"/>
        <w:tblInd w:w="-720.0" w:type="dxa"/>
        <w:tblLayout w:type="fixed"/>
        <w:tblLook w:val="0000"/>
      </w:tblPr>
      <w:tblGrid>
        <w:gridCol w:w="4679"/>
        <w:gridCol w:w="5778"/>
        <w:tblGridChange w:id="0">
          <w:tblGrid>
            <w:gridCol w:w="4679"/>
            <w:gridCol w:w="5778"/>
          </w:tblGrid>
        </w:tblGridChange>
      </w:tblGrid>
      <w:tr>
        <w:trPr>
          <w:cantSplit w:val="0"/>
          <w:trHeight w:val="437" w:hRule="atLeast"/>
          <w:tblHeader w:val="0"/>
        </w:trPr>
        <w:tc>
          <w:tcPr/>
          <w:p w:rsidR="00000000" w:rsidDel="00000000" w:rsidP="00000000" w:rsidRDefault="00000000" w:rsidRPr="00000000" w14:paraId="00000002">
            <w:pPr>
              <w:widowControl w:val="1"/>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CHÍNH PHỦ</w:t>
            </w:r>
          </w:p>
          <w:p w:rsidR="00000000" w:rsidDel="00000000" w:rsidP="00000000" w:rsidRDefault="00000000" w:rsidRPr="00000000" w14:paraId="00000003">
            <w:pPr>
              <w:widowControl w:val="1"/>
              <w:ind w:left="-108" w:right="-108" w:firstLine="0"/>
              <w:jc w:val="center"/>
              <w:rPr>
                <w:rFonts w:ascii="Times New Roman" w:cs="Times New Roman" w:eastAsia="Times New Roman" w:hAnsi="Times New Roman"/>
                <w:b w:val="1"/>
                <w:bCs w:val="1"/>
                <w:color w:val="000000"/>
                <w:sz w:val="28"/>
                <w:szCs w:val="28"/>
              </w:rPr>
            </w:pPr>
            <w:r w:rsidDel="00000000" w:rsidR="00000000" w:rsidRPr="00000000">
              <w:rPr>
                <w:rtl w:val="0"/>
              </w:rPr>
            </w:r>
            <w:r w:rsidDel="00000000" w:rsidR="00000000" w:rsidRPr="00000000">
              <mc:AlternateContent>
                <mc:Choice Requires="wps">
                  <w:drawing>
                    <wp:anchor allowOverlap="1" behindDoc="0" distB="4294967291" distT="4294967291" distL="114300" distR="114300" hidden="0" layoutInCell="1" locked="0" relativeHeight="0" simplePos="0">
                      <wp:simplePos x="0" y="0"/>
                      <wp:positionH relativeFrom="column">
                        <wp:posOffset>2199034</wp:posOffset>
                      </wp:positionH>
                      <wp:positionV relativeFrom="paragraph">
                        <wp:posOffset>25912</wp:posOffset>
                      </wp:positionV>
                      <wp:extent cx="583102" cy="12700"/>
                      <wp:effectExtent b="0" l="0" r="0" t="0"/>
                      <wp:wrapNone/>
                      <wp:docPr id="2" name=""/>
                      <a:graphic>
                        <a:graphicData uri="http://schemas.microsoft.com/office/word/2010/wordprocessingShape">
                          <wps:wsp>
                            <wps:cNvCnPr/>
                            <wps:spPr>
                              <a:xfrm>
                                <a:off x="5054449" y="3780000"/>
                                <a:ext cx="583102"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1" distT="4294967291" distL="114300" distR="114300" hidden="0" layoutInCell="1" locked="0" relativeHeight="0" simplePos="0">
                      <wp:simplePos x="0" y="0"/>
                      <wp:positionH relativeFrom="column">
                        <wp:posOffset>2199034</wp:posOffset>
                      </wp:positionH>
                      <wp:positionV relativeFrom="paragraph">
                        <wp:posOffset>25912</wp:posOffset>
                      </wp:positionV>
                      <wp:extent cx="583102" cy="12700"/>
                      <wp:effectExtent b="0" l="0" r="0" t="0"/>
                      <wp:wrapNone/>
                      <wp:docPr id="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583102" cy="12700"/>
                              </a:xfrm>
                              <a:prstGeom prst="rect"/>
                              <a:ln/>
                            </pic:spPr>
                          </pic:pic>
                        </a:graphicData>
                      </a:graphic>
                    </wp:anchor>
                  </w:drawing>
                </mc:Fallback>
              </mc:AlternateContent>
            </w:r>
          </w:p>
        </w:tc>
        <w:tc>
          <w:tcPr/>
          <w:p w:rsidR="00000000" w:rsidDel="00000000" w:rsidP="00000000" w:rsidRDefault="00000000" w:rsidRPr="00000000" w14:paraId="00000004">
            <w:pPr>
              <w:widowControl w:val="1"/>
              <w:ind w:left="-108" w:right="-108" w:firstLine="0"/>
              <w:jc w:val="center"/>
              <w:rPr>
                <w:rFonts w:ascii="Times New Roman" w:cs="Times New Roman" w:eastAsia="Times New Roman" w:hAnsi="Times New Roman"/>
                <w:b w:val="1"/>
                <w:bCs w:val="1"/>
                <w:color w:val="000000"/>
                <w:sz w:val="26"/>
                <w:szCs w:val="26"/>
              </w:rPr>
            </w:pPr>
            <w:r w:rsidDel="00000000" w:rsidR="00000000" w:rsidRPr="00000000">
              <w:rPr>
                <w:rFonts w:ascii="Times New Roman" w:cs="Times New Roman" w:eastAsia="Times New Roman" w:hAnsi="Times New Roman"/>
                <w:b w:val="1"/>
                <w:bCs w:val="1"/>
                <w:color w:val="000000"/>
                <w:sz w:val="26"/>
                <w:szCs w:val="26"/>
                <w:rtl w:val="0"/>
              </w:rPr>
              <w:t xml:space="preserve">  CỘNG HÒA XÃ HỘI CHỦ NGHĨA VIỆT NAM</w:t>
            </w:r>
          </w:p>
          <w:p w:rsidR="00000000" w:rsidDel="00000000" w:rsidP="00000000" w:rsidRDefault="00000000" w:rsidRPr="00000000" w14:paraId="00000005">
            <w:pPr>
              <w:widowControl w:val="1"/>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Độc lập – Tự do – Hạnh phúc</w:t>
            </w:r>
            <w:r w:rsidDel="00000000" w:rsidR="00000000" w:rsidRPr="00000000">
              <w:rPr>
                <w:rtl w:val="0"/>
              </w:rPr>
            </w:r>
          </w:p>
        </w:tc>
      </w:tr>
      <w:tr>
        <w:trPr>
          <w:cantSplit w:val="0"/>
          <w:trHeight w:val="535" w:hRule="atLeast"/>
          <w:tblHeader w:val="0"/>
        </w:trPr>
        <w:tc>
          <w:tcPr>
            <w:vAlign w:val="center"/>
          </w:tcPr>
          <w:p w:rsidR="00000000" w:rsidDel="00000000" w:rsidP="00000000" w:rsidRDefault="00000000" w:rsidRPr="00000000" w14:paraId="00000006">
            <w:pPr>
              <w:widowControl w:val="1"/>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6"/>
                <w:szCs w:val="26"/>
                <w:rtl w:val="0"/>
              </w:rPr>
              <w:t xml:space="preserve">Số:         /2026/NĐ-CP</w:t>
            </w:r>
            <w:r w:rsidDel="00000000" w:rsidR="00000000" w:rsidRPr="00000000">
              <w:rPr>
                <w:rtl w:val="0"/>
              </w:rPr>
            </w:r>
          </w:p>
        </w:tc>
        <w:tc>
          <w:tcPr/>
          <w:p w:rsidR="00000000" w:rsidDel="00000000" w:rsidP="00000000" w:rsidRDefault="00000000" w:rsidRPr="00000000" w14:paraId="00000007">
            <w:pPr>
              <w:widowControl w:val="1"/>
              <w:spacing w:before="120" w:line="288" w:lineRule="auto"/>
              <w:ind w:left="1" w:hanging="1"/>
              <w:jc w:val="center"/>
              <w:rPr>
                <w:rFonts w:ascii="Times New Roman" w:cs="Times New Roman" w:eastAsia="Times New Roman" w:hAnsi="Times New Roman"/>
                <w:i w:val="1"/>
                <w:iCs w:val="1"/>
                <w:color w:val="000000"/>
                <w:sz w:val="26"/>
                <w:szCs w:val="26"/>
              </w:rPr>
            </w:pPr>
            <w:r w:rsidDel="00000000" w:rsidR="00000000" w:rsidRPr="00000000">
              <w:rPr>
                <w:rFonts w:ascii="Times New Roman" w:cs="Times New Roman" w:eastAsia="Times New Roman" w:hAnsi="Times New Roman"/>
                <w:i w:val="1"/>
                <w:iCs w:val="1"/>
                <w:color w:val="000000"/>
                <w:sz w:val="26"/>
                <w:szCs w:val="26"/>
                <w:rtl w:val="0"/>
              </w:rPr>
              <w:t xml:space="preserve">Hà Nội, ngày       tháng       năm 2026</w:t>
            </w:r>
            <w:r w:rsidDel="00000000" w:rsidR="00000000" w:rsidRPr="00000000">
              <mc:AlternateContent>
                <mc:Choice Requires="wps">
                  <w:drawing>
                    <wp:anchor allowOverlap="1" behindDoc="0" distB="4294967291" distT="4294967291" distL="114300" distR="114300" hidden="0" layoutInCell="1" locked="0" relativeHeight="0" simplePos="0">
                      <wp:simplePos x="0" y="0"/>
                      <wp:positionH relativeFrom="column">
                        <wp:posOffset>1714772</wp:posOffset>
                      </wp:positionH>
                      <wp:positionV relativeFrom="paragraph">
                        <wp:posOffset>46360</wp:posOffset>
                      </wp:positionV>
                      <wp:extent cx="2262079" cy="12700"/>
                      <wp:effectExtent b="0" l="0" r="0" t="0"/>
                      <wp:wrapNone/>
                      <wp:docPr id="1" name=""/>
                      <a:graphic>
                        <a:graphicData uri="http://schemas.microsoft.com/office/word/2010/wordprocessingShape">
                          <wps:wsp>
                            <wps:cNvCnPr/>
                            <wps:spPr>
                              <a:xfrm>
                                <a:off x="4214961" y="3780000"/>
                                <a:ext cx="2262079"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1" distT="4294967291" distL="114300" distR="114300" hidden="0" layoutInCell="1" locked="0" relativeHeight="0" simplePos="0">
                      <wp:simplePos x="0" y="0"/>
                      <wp:positionH relativeFrom="column">
                        <wp:posOffset>1714772</wp:posOffset>
                      </wp:positionH>
                      <wp:positionV relativeFrom="paragraph">
                        <wp:posOffset>46360</wp:posOffset>
                      </wp:positionV>
                      <wp:extent cx="2262079" cy="12700"/>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262079" cy="12700"/>
                              </a:xfrm>
                              <a:prstGeom prst="rect"/>
                              <a:ln/>
                            </pic:spPr>
                          </pic:pic>
                        </a:graphicData>
                      </a:graphic>
                    </wp:anchor>
                  </w:drawing>
                </mc:Fallback>
              </mc:AlternateContent>
            </w:r>
          </w:p>
        </w:tc>
      </w:tr>
    </w:tbl>
    <w:p w:rsidR="00000000" w:rsidDel="00000000" w:rsidP="00000000" w:rsidRDefault="00000000" w:rsidRPr="00000000" w14:paraId="00000008">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-121712</wp:posOffset>
                </wp:positionH>
                <wp:positionV relativeFrom="paragraph">
                  <wp:posOffset>234247</wp:posOffset>
                </wp:positionV>
                <wp:extent cx="1041704" cy="395991"/>
                <wp:effectExtent b="0" l="0" r="0" t="0"/>
                <wp:wrapNone/>
                <wp:docPr id="3" name=""/>
                <a:graphic>
                  <a:graphicData uri="http://schemas.microsoft.com/office/word/2010/wordprocessingShape">
                    <wps:wsp>
                      <wps:cNvSpPr/>
                      <wps:cNvPr id="4" name="Shape 4"/>
                      <wps:spPr>
                        <a:xfrm>
                          <a:off x="4829911" y="3586767"/>
                          <a:ext cx="1032179" cy="386466"/>
                        </a:xfrm>
                        <a:prstGeom prst="rect">
                          <a:avLst/>
                        </a:prstGeom>
                        <a:noFill/>
                        <a:ln cap="flat" cmpd="sng" w="9525">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8"/>
                                <w:vertAlign w:val="baseline"/>
                              </w:rPr>
                              <w:t xml:space="preserve">Dự thảo </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-121712</wp:posOffset>
                </wp:positionH>
                <wp:positionV relativeFrom="paragraph">
                  <wp:posOffset>234247</wp:posOffset>
                </wp:positionV>
                <wp:extent cx="1041704" cy="395991"/>
                <wp:effectExtent b="0" l="0" r="0" t="0"/>
                <wp:wrapNone/>
                <wp:docPr id="3"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1041704" cy="395991"/>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3870"/>
        </w:tabs>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390"/>
          <w:tab w:val="center" w:leader="none" w:pos="4510"/>
        </w:tabs>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ab/>
        <w:tab/>
        <w:t xml:space="preserve">NGHỊ ĐỊNH</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Quy định chi tiết một số điều của Luật Cạnh tranh</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w:t>
      </w:r>
    </w:p>
    <w:p w:rsidR="00000000" w:rsidDel="00000000" w:rsidP="00000000" w:rsidRDefault="00000000" w:rsidRPr="00000000" w14:paraId="0000000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Căn cứ Luật Tổ chức Chính phủ số 63/2025/QH15;</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Căn cứ Luật Cạnh tranh số 23/2018/QH14 được sửa đổi, bổ sung bởi Luật số …/2026/QH15;</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Theo đề nghị của Bộ trưởng Bộ Công Thương;</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Chính phủ ban hành Nghị định quy định chi tiết một số điều của Luật Cạnh tranh.</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Chương I</w:t>
        <w:br w:type="textWrapping"/>
        <w:t xml:space="preserve">NHỮNG QUY ĐỊNH CHUNG</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 Phạm vi điều chỉnh</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Nghị định này quy định chi tiết một số điều của Luật Cạnh tranh, bao gồm: </w:t>
      </w:r>
      <w:r w:rsidDel="00000000" w:rsidR="00000000" w:rsidRPr="00000000">
        <w:rPr>
          <w:rFonts w:ascii="Times New Roman" w:cs="Times New Roman" w:eastAsia="Times New Roman" w:hAnsi="Times New Roman"/>
          <w:i w:val="1"/>
          <w:iCs w:val="1"/>
          <w:color w:val="000000"/>
          <w:sz w:val="28"/>
          <w:szCs w:val="28"/>
          <w:rtl w:val="0"/>
        </w:rPr>
        <w:t xml:space="preserve">khoản 2</w:t>
      </w:r>
      <w:r w:rsidDel="00000000" w:rsidR="00000000" w:rsidRPr="00000000">
        <w:rPr>
          <w:rFonts w:ascii="Times New Roman" w:cs="Times New Roman" w:eastAsia="Times New Roman" w:hAnsi="Times New Roman"/>
          <w:color w:val="000000"/>
          <w:sz w:val="28"/>
          <w:szCs w:val="28"/>
          <w:rtl w:val="0"/>
        </w:rPr>
        <w:t xml:space="preserve"> Điều 9; </w:t>
      </w:r>
      <w:r w:rsidDel="00000000" w:rsidR="00000000" w:rsidRPr="00000000">
        <w:rPr>
          <w:rFonts w:ascii="Times New Roman" w:cs="Times New Roman" w:eastAsia="Times New Roman" w:hAnsi="Times New Roman"/>
          <w:i w:val="1"/>
          <w:iCs w:val="1"/>
          <w:color w:val="000000"/>
          <w:sz w:val="28"/>
          <w:szCs w:val="28"/>
          <w:rtl w:val="0"/>
        </w:rPr>
        <w:t xml:space="preserve">khoản 5 Điều</w:t>
      </w:r>
      <w:r w:rsidDel="00000000" w:rsidR="00000000" w:rsidRPr="00000000">
        <w:rPr>
          <w:rFonts w:ascii="Times New Roman" w:cs="Times New Roman" w:eastAsia="Times New Roman" w:hAnsi="Times New Roman"/>
          <w:color w:val="000000"/>
          <w:sz w:val="28"/>
          <w:szCs w:val="28"/>
          <w:rtl w:val="0"/>
        </w:rPr>
        <w:t xml:space="preserve"> 10; </w:t>
      </w:r>
      <w:r w:rsidDel="00000000" w:rsidR="00000000" w:rsidRPr="00000000">
        <w:rPr>
          <w:rFonts w:ascii="Times New Roman" w:cs="Times New Roman" w:eastAsia="Times New Roman" w:hAnsi="Times New Roman"/>
          <w:i w:val="1"/>
          <w:iCs w:val="1"/>
          <w:color w:val="000000"/>
          <w:sz w:val="28"/>
          <w:szCs w:val="28"/>
          <w:rtl w:val="0"/>
        </w:rPr>
        <w:t xml:space="preserve">khoản 2 Điều</w:t>
      </w:r>
      <w:r w:rsidDel="00000000" w:rsidR="00000000" w:rsidRPr="00000000">
        <w:rPr>
          <w:rFonts w:ascii="Times New Roman" w:cs="Times New Roman" w:eastAsia="Times New Roman" w:hAnsi="Times New Roman"/>
          <w:color w:val="000000"/>
          <w:sz w:val="28"/>
          <w:szCs w:val="28"/>
          <w:rtl w:val="0"/>
        </w:rPr>
        <w:t xml:space="preserve"> 13; </w:t>
      </w:r>
      <w:r w:rsidDel="00000000" w:rsidR="00000000" w:rsidRPr="00000000">
        <w:rPr>
          <w:rFonts w:ascii="Times New Roman" w:cs="Times New Roman" w:eastAsia="Times New Roman" w:hAnsi="Times New Roman"/>
          <w:i w:val="1"/>
          <w:iCs w:val="1"/>
          <w:color w:val="000000"/>
          <w:sz w:val="28"/>
          <w:szCs w:val="28"/>
          <w:rtl w:val="0"/>
        </w:rPr>
        <w:t xml:space="preserve">khoản 5 Điều 14; khoản 2 Điều </w:t>
      </w:r>
      <w:r w:rsidDel="00000000" w:rsidR="00000000" w:rsidRPr="00000000">
        <w:rPr>
          <w:rFonts w:ascii="Times New Roman" w:cs="Times New Roman" w:eastAsia="Times New Roman" w:hAnsi="Times New Roman"/>
          <w:color w:val="000000"/>
          <w:sz w:val="28"/>
          <w:szCs w:val="28"/>
          <w:rtl w:val="0"/>
        </w:rPr>
        <w:t xml:space="preserve">26; </w:t>
      </w:r>
      <w:r w:rsidDel="00000000" w:rsidR="00000000" w:rsidRPr="00000000">
        <w:rPr>
          <w:rFonts w:ascii="Times New Roman" w:cs="Times New Roman" w:eastAsia="Times New Roman" w:hAnsi="Times New Roman"/>
          <w:i w:val="1"/>
          <w:iCs w:val="1"/>
          <w:color w:val="000000"/>
          <w:sz w:val="28"/>
          <w:szCs w:val="28"/>
          <w:rtl w:val="0"/>
        </w:rPr>
        <w:t xml:space="preserve">khoản 6 Điều 29</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khoản 2 Điều </w:t>
      </w:r>
      <w:r w:rsidDel="00000000" w:rsidR="00000000" w:rsidRPr="00000000">
        <w:rPr>
          <w:rFonts w:ascii="Times New Roman" w:cs="Times New Roman" w:eastAsia="Times New Roman" w:hAnsi="Times New Roman"/>
          <w:color w:val="000000"/>
          <w:sz w:val="28"/>
          <w:szCs w:val="28"/>
          <w:rtl w:val="0"/>
        </w:rPr>
        <w:t xml:space="preserve">31; </w:t>
      </w:r>
      <w:r w:rsidDel="00000000" w:rsidR="00000000" w:rsidRPr="00000000">
        <w:rPr>
          <w:rFonts w:ascii="Times New Roman" w:cs="Times New Roman" w:eastAsia="Times New Roman" w:hAnsi="Times New Roman"/>
          <w:i w:val="1"/>
          <w:iCs w:val="1"/>
          <w:color w:val="000000"/>
          <w:sz w:val="28"/>
          <w:szCs w:val="28"/>
          <w:rtl w:val="0"/>
        </w:rPr>
        <w:t xml:space="preserve">khoản 2 Điều </w:t>
      </w:r>
      <w:r w:rsidDel="00000000" w:rsidR="00000000" w:rsidRPr="00000000">
        <w:rPr>
          <w:rFonts w:ascii="Times New Roman" w:cs="Times New Roman" w:eastAsia="Times New Roman" w:hAnsi="Times New Roman"/>
          <w:color w:val="000000"/>
          <w:sz w:val="28"/>
          <w:szCs w:val="28"/>
          <w:rtl w:val="0"/>
        </w:rPr>
        <w:t xml:space="preserve">32; </w:t>
      </w:r>
      <w:r w:rsidDel="00000000" w:rsidR="00000000" w:rsidRPr="00000000">
        <w:rPr>
          <w:rFonts w:ascii="Times New Roman" w:cs="Times New Roman" w:eastAsia="Times New Roman" w:hAnsi="Times New Roman"/>
          <w:i w:val="1"/>
          <w:iCs w:val="1"/>
          <w:color w:val="000000"/>
          <w:sz w:val="28"/>
          <w:szCs w:val="28"/>
          <w:rtl w:val="0"/>
        </w:rPr>
        <w:t xml:space="preserve">khoản 1 và khoản 3 Điều </w:t>
      </w:r>
      <w:r w:rsidDel="00000000" w:rsidR="00000000" w:rsidRPr="00000000">
        <w:rPr>
          <w:rFonts w:ascii="Times New Roman" w:cs="Times New Roman" w:eastAsia="Times New Roman" w:hAnsi="Times New Roman"/>
          <w:color w:val="000000"/>
          <w:sz w:val="28"/>
          <w:szCs w:val="28"/>
          <w:rtl w:val="0"/>
        </w:rPr>
        <w:t xml:space="preserve">33; </w:t>
      </w:r>
      <w:r w:rsidDel="00000000" w:rsidR="00000000" w:rsidRPr="00000000">
        <w:rPr>
          <w:rFonts w:ascii="Times New Roman" w:cs="Times New Roman" w:eastAsia="Times New Roman" w:hAnsi="Times New Roman"/>
          <w:i w:val="1"/>
          <w:iCs w:val="1"/>
          <w:color w:val="000000"/>
          <w:sz w:val="28"/>
          <w:szCs w:val="28"/>
          <w:rtl w:val="0"/>
        </w:rPr>
        <w:t xml:space="preserve">khoản 4 Điều 36</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khoản 3 Điều 39; khoản 4 Điều 43</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khoản 4 Điều </w:t>
      </w:r>
      <w:r w:rsidDel="00000000" w:rsidR="00000000" w:rsidRPr="00000000">
        <w:rPr>
          <w:rFonts w:ascii="Times New Roman" w:cs="Times New Roman" w:eastAsia="Times New Roman" w:hAnsi="Times New Roman"/>
          <w:color w:val="000000"/>
          <w:sz w:val="28"/>
          <w:szCs w:val="28"/>
          <w:rtl w:val="0"/>
        </w:rPr>
        <w:t xml:space="preserve">56 và </w:t>
      </w:r>
      <w:r w:rsidDel="00000000" w:rsidR="00000000" w:rsidRPr="00000000">
        <w:rPr>
          <w:rFonts w:ascii="Times New Roman" w:cs="Times New Roman" w:eastAsia="Times New Roman" w:hAnsi="Times New Roman"/>
          <w:i w:val="1"/>
          <w:iCs w:val="1"/>
          <w:color w:val="000000"/>
          <w:sz w:val="28"/>
          <w:szCs w:val="28"/>
          <w:rtl w:val="0"/>
        </w:rPr>
        <w:t xml:space="preserve">khoản 2 Điều </w:t>
      </w:r>
      <w:r w:rsidDel="00000000" w:rsidR="00000000" w:rsidRPr="00000000">
        <w:rPr>
          <w:rFonts w:ascii="Times New Roman" w:cs="Times New Roman" w:eastAsia="Times New Roman" w:hAnsi="Times New Roman"/>
          <w:color w:val="000000"/>
          <w:sz w:val="28"/>
          <w:szCs w:val="28"/>
          <w:rtl w:val="0"/>
        </w:rPr>
        <w:t xml:space="preserve">82 của Luật Cạnh tranh.</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 Giải thích từ ngữ</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967"/>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Kiểm soát, chi phối doanh nghiệp hoặc một ngành, nghề của doanh nghiệp khác là khi thuộc một trong các trường hợp sau:</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97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Doanh nghiệp mua lại giành được quyền sở hữu trên 50% vốn điều lệ hoặc trên 50% cổ phần có quyền biểu quyết của doanh nghiệp bị mua lại;</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000"/>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Doanh nghiệp mua lại giành được quyền sở hữu hoặc quyền sử dụng trên 50% tài sản của doanh nghiệp bị mua lại trong toàn bộ hoặc một ngành, nghề kinh doanh của doanh nghiệp bị mua lại đó;</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026"/>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Doanh nghiệp mua lại có một trong các quyền sau:</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851"/>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Trực tiếp hoặc gián tiếp quyết định bổ nhiệm, miễn nhiệm hoặc bãi nhiệm đa số hoặc tất cả thành viên hội đồng quản trị, chủ tịch hội đồng thành viên, giám đốc hoặc tổng giám đốc của doanh nghiệp bị mua lại;</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877"/>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Quyết định sửa đổi, bổ sung điều lệ của doanh nghiệp bị mua lại;</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970"/>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Quyết định các vấn đề quan trọng trong hoạt động kinh doanh của doanh nghiệp bị mua lại bao gồm việc lựa chọn hình thức tổ chức kinh doanh; lựa chọn ngành, nghề, địa bàn, hình thức kinh doanh; lựa chọn điều chỉnh quy mô và ngành, nghề kinh doanh; lựa chọn hình thức, phương thức huy động, phân bổ và sử dụng vốn kinh doanh của doanh nghiệp đó.</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970"/>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Nhóm doanh nghiệp liên kết về tổ chức và tài chính (sau đây gọi chung là nhóm doanh nghiệp liên kết) là nhóm các doanh nghiệp cùng chịu sự kiểm soát, chi phối của một hoặc nhiều doanh nghiệp trong nhóm hoặc có bộ phận điều hành chung. </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970"/>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3. Bộ phận điều hành là </w:t>
      </w:r>
      <w:bookmarkStart w:colFirst="0" w:colLast="0" w:name="bookmark=id.7knnvmq4whi6" w:id="0"/>
      <w:bookmarkEnd w:id="0"/>
      <w:r w:rsidDel="00000000" w:rsidR="00000000" w:rsidRPr="00000000">
        <w:rPr>
          <w:rFonts w:ascii="Times New Roman" w:cs="Times New Roman" w:eastAsia="Times New Roman" w:hAnsi="Times New Roman"/>
          <w:i w:val="1"/>
          <w:iCs w:val="1"/>
          <w:color w:val="000000"/>
          <w:sz w:val="28"/>
          <w:szCs w:val="28"/>
          <w:rtl w:val="0"/>
        </w:rPr>
        <w:t xml:space="preserve">người hoặc nhóm người thuộc một trong các trường hợp sau:</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97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a) Người sở hữu trên 50% vốn điều lệ hoặc trên 50% cổ phần có quyền biểu quyết của doanh nghiệp;</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970"/>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b) Người có quyền sở hữu hoặc quyền sử dụng trên 50% tài sản của doanh nghiệp trong toàn bộ hoặc một ngành, nghề kinh doanh của doanh nghiệp;</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970"/>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c) Người quản lý doanh nghiệp theo quy định của pháp luật doanh nghiệp;</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970"/>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d) Người hoặc nhóm người có quyền quyết định một trong các vấn đề sau của doanh nghiệp: tổ chức thực hiện nghị quyết, quyết định của Hội đồng thành viên, Hội đồng quản trị; quyết định các vấn đề liên quan đến hoạt động kinh doanh hằng ngày của công ty; tổ chức thực hiện kế hoạch kinh doanh và phương án đầu tư của công ty.</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970"/>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4.</w:t>
      </w:r>
      <w:r w:rsidDel="00000000" w:rsidR="00000000" w:rsidRPr="00000000">
        <w:rPr>
          <w:rFonts w:ascii="Times New Roman" w:cs="Times New Roman" w:eastAsia="Times New Roman" w:hAnsi="Times New Roman"/>
          <w:color w:val="000000"/>
          <w:sz w:val="28"/>
          <w:szCs w:val="28"/>
          <w:rtl w:val="0"/>
        </w:rPr>
        <w:t xml:space="preserve"> Mức thị phần là giá trị bằng số của thị phần của một doanh nghiệp trên thị trường liên quan được xác định theo Điều 10 Luật Cạnh tranh, ví dụ doanh nghiệp có thị phần trên thị trường liên quan là 30 phần trăm (30%) thì mức thị phần của doanh nghiệp đó là 30.</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59"/>
        </w:tabs>
        <w:spacing w:before="120" w:lineRule="auto"/>
        <w:ind w:firstLine="720"/>
        <w:jc w:val="both"/>
        <w:rPr>
          <w:rFonts w:ascii="Times New Roman" w:cs="Times New Roman" w:eastAsia="Times New Roman" w:hAnsi="Times New Roman"/>
          <w:color w:val="000000"/>
          <w:sz w:val="28"/>
          <w:szCs w:val="28"/>
          <w:vertAlign w:val="superscript"/>
        </w:rPr>
      </w:pPr>
      <w:r w:rsidDel="00000000" w:rsidR="00000000" w:rsidRPr="00000000">
        <w:rPr>
          <w:rFonts w:ascii="Times New Roman" w:cs="Times New Roman" w:eastAsia="Times New Roman" w:hAnsi="Times New Roman"/>
          <w:i w:val="1"/>
          <w:iCs w:val="1"/>
          <w:color w:val="000000"/>
          <w:sz w:val="28"/>
          <w:szCs w:val="28"/>
          <w:rtl w:val="0"/>
        </w:rPr>
        <w:t xml:space="preserve">5.</w:t>
      </w:r>
      <w:r w:rsidDel="00000000" w:rsidR="00000000" w:rsidRPr="00000000">
        <w:rPr>
          <w:rFonts w:ascii="Times New Roman" w:cs="Times New Roman" w:eastAsia="Times New Roman" w:hAnsi="Times New Roman"/>
          <w:color w:val="000000"/>
          <w:sz w:val="28"/>
          <w:szCs w:val="28"/>
          <w:rtl w:val="0"/>
        </w:rPr>
        <w:t xml:space="preserve"> Tổng bình phương mức thị phần của các doanh nghiệp trên thị trường liên quan được tính theo công thức sau: </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959"/>
        </w:tabs>
        <w:spacing w:before="120" w:lineRule="auto"/>
        <w:ind w:firstLine="720"/>
        <w:jc w:val="both"/>
        <w:rPr>
          <w:rFonts w:ascii="Times New Roman" w:cs="Times New Roman" w:eastAsia="Times New Roman" w:hAnsi="Times New Roman"/>
          <w:color w:val="000000"/>
          <w:sz w:val="28"/>
          <w:szCs w:val="28"/>
          <w:vertAlign w:val="superscript"/>
        </w:rPr>
      </w:pPr>
      <w:r w:rsidDel="00000000" w:rsidR="00000000" w:rsidRPr="00000000">
        <w:rPr>
          <w:rFonts w:ascii="Times New Roman" w:cs="Times New Roman" w:eastAsia="Times New Roman" w:hAnsi="Times New Roman"/>
          <w:color w:val="000000"/>
          <w:sz w:val="28"/>
          <w:szCs w:val="28"/>
          <w:rtl w:val="0"/>
        </w:rPr>
        <w:t xml:space="preserve">Tổng bình phương mức thị phần = S</w:t>
      </w:r>
      <w:r w:rsidDel="00000000" w:rsidR="00000000" w:rsidRPr="00000000">
        <w:rPr>
          <w:rFonts w:ascii="Times New Roman" w:cs="Times New Roman" w:eastAsia="Times New Roman" w:hAnsi="Times New Roman"/>
          <w:color w:val="000000"/>
          <w:sz w:val="28"/>
          <w:szCs w:val="28"/>
          <w:vertAlign w:val="subscript"/>
          <w:rtl w:val="0"/>
        </w:rPr>
        <w:t xml:space="preserve">1</w:t>
      </w:r>
      <w:r w:rsidDel="00000000" w:rsidR="00000000" w:rsidRPr="00000000">
        <w:rPr>
          <w:rFonts w:ascii="Times New Roman" w:cs="Times New Roman" w:eastAsia="Times New Roman" w:hAnsi="Times New Roman"/>
          <w:color w:val="000000"/>
          <w:sz w:val="28"/>
          <w:szCs w:val="28"/>
          <w:vertAlign w:val="superscript"/>
          <w:rtl w:val="0"/>
        </w:rPr>
        <w:t xml:space="preserve">2</w:t>
      </w:r>
      <w:r w:rsidDel="00000000" w:rsidR="00000000" w:rsidRPr="00000000">
        <w:rPr>
          <w:rFonts w:ascii="Times New Roman" w:cs="Times New Roman" w:eastAsia="Times New Roman" w:hAnsi="Times New Roman"/>
          <w:color w:val="000000"/>
          <w:sz w:val="28"/>
          <w:szCs w:val="28"/>
          <w:rtl w:val="0"/>
        </w:rPr>
        <w:t xml:space="preserve"> + S</w:t>
      </w:r>
      <w:r w:rsidDel="00000000" w:rsidR="00000000" w:rsidRPr="00000000">
        <w:rPr>
          <w:rFonts w:ascii="Times New Roman" w:cs="Times New Roman" w:eastAsia="Times New Roman" w:hAnsi="Times New Roman"/>
          <w:color w:val="000000"/>
          <w:sz w:val="28"/>
          <w:szCs w:val="28"/>
          <w:vertAlign w:val="subscript"/>
          <w:rtl w:val="0"/>
        </w:rPr>
        <w:t xml:space="preserve">2</w:t>
      </w:r>
      <w:r w:rsidDel="00000000" w:rsidR="00000000" w:rsidRPr="00000000">
        <w:rPr>
          <w:rFonts w:ascii="Times New Roman" w:cs="Times New Roman" w:eastAsia="Times New Roman" w:hAnsi="Times New Roman"/>
          <w:color w:val="000000"/>
          <w:sz w:val="28"/>
          <w:szCs w:val="28"/>
          <w:vertAlign w:val="superscript"/>
          <w:rtl w:val="0"/>
        </w:rPr>
        <w:t xml:space="preserve">2 </w:t>
      </w:r>
      <w:r w:rsidDel="00000000" w:rsidR="00000000" w:rsidRPr="00000000">
        <w:rPr>
          <w:rFonts w:ascii="Times New Roman" w:cs="Times New Roman" w:eastAsia="Times New Roman" w:hAnsi="Times New Roman"/>
          <w:color w:val="000000"/>
          <w:sz w:val="28"/>
          <w:szCs w:val="28"/>
          <w:rtl w:val="0"/>
        </w:rPr>
        <w:t xml:space="preserve">+ …S</w:t>
      </w:r>
      <w:r w:rsidDel="00000000" w:rsidR="00000000" w:rsidRPr="00000000">
        <w:rPr>
          <w:rFonts w:ascii="Times New Roman" w:cs="Times New Roman" w:eastAsia="Times New Roman" w:hAnsi="Times New Roman"/>
          <w:color w:val="000000"/>
          <w:sz w:val="28"/>
          <w:szCs w:val="28"/>
          <w:vertAlign w:val="subscript"/>
          <w:rtl w:val="0"/>
        </w:rPr>
        <w:t xml:space="preserve">(n)</w:t>
      </w:r>
      <w:r w:rsidDel="00000000" w:rsidR="00000000" w:rsidRPr="00000000">
        <w:rPr>
          <w:rFonts w:ascii="Times New Roman" w:cs="Times New Roman" w:eastAsia="Times New Roman" w:hAnsi="Times New Roman"/>
          <w:color w:val="000000"/>
          <w:sz w:val="28"/>
          <w:szCs w:val="28"/>
          <w:vertAlign w:val="superscript"/>
          <w:rtl w:val="0"/>
        </w:rPr>
        <w:t xml:space="preserve">2</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Trong đó: S</w:t>
      </w:r>
      <w:r w:rsidDel="00000000" w:rsidR="00000000" w:rsidRPr="00000000">
        <w:rPr>
          <w:rFonts w:ascii="Times New Roman" w:cs="Times New Roman" w:eastAsia="Times New Roman" w:hAnsi="Times New Roman"/>
          <w:color w:val="000000"/>
          <w:sz w:val="28"/>
          <w:szCs w:val="28"/>
          <w:vertAlign w:val="subscript"/>
          <w:rtl w:val="0"/>
        </w:rPr>
        <w:t xml:space="preserve">1</w:t>
      </w:r>
      <w:r w:rsidDel="00000000" w:rsidR="00000000" w:rsidRPr="00000000">
        <w:rPr>
          <w:rFonts w:ascii="Times New Roman" w:cs="Times New Roman" w:eastAsia="Times New Roman" w:hAnsi="Times New Roman"/>
          <w:color w:val="000000"/>
          <w:sz w:val="28"/>
          <w:szCs w:val="28"/>
          <w:rtl w:val="0"/>
        </w:rPr>
        <w:t xml:space="preserve">,...S</w:t>
      </w:r>
      <w:r w:rsidDel="00000000" w:rsidR="00000000" w:rsidRPr="00000000">
        <w:rPr>
          <w:rFonts w:ascii="Times New Roman" w:cs="Times New Roman" w:eastAsia="Times New Roman" w:hAnsi="Times New Roman"/>
          <w:color w:val="000000"/>
          <w:sz w:val="28"/>
          <w:szCs w:val="28"/>
          <w:vertAlign w:val="subscript"/>
          <w:rtl w:val="0"/>
        </w:rPr>
        <w:t xml:space="preserve">(n)</w:t>
      </w:r>
      <w:r w:rsidDel="00000000" w:rsidR="00000000" w:rsidRPr="00000000">
        <w:rPr>
          <w:rFonts w:ascii="Times New Roman" w:cs="Times New Roman" w:eastAsia="Times New Roman" w:hAnsi="Times New Roman"/>
          <w:color w:val="000000"/>
          <w:sz w:val="28"/>
          <w:szCs w:val="28"/>
          <w:rtl w:val="0"/>
        </w:rPr>
        <w:t xml:space="preserve"> là mức thị phần tương ứng của doanh nghiệp thứ 1 đến doanh nghiệp thứ n.</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Ví dụ: Trên cùng một thị trường liên quan có 3 doanh nghiệp có thị phần tương ứng là 30%, 30% và 40%. Tổng bình phương mức thị phần của 3 doanh nghiệp trên thị trường liên quan được xác định là 30</w:t>
      </w:r>
      <w:r w:rsidDel="00000000" w:rsidR="00000000" w:rsidRPr="00000000">
        <w:rPr>
          <w:rFonts w:ascii="Times New Roman" w:cs="Times New Roman" w:eastAsia="Times New Roman" w:hAnsi="Times New Roman"/>
          <w:color w:val="000000"/>
          <w:sz w:val="28"/>
          <w:szCs w:val="28"/>
          <w:vertAlign w:val="superscript"/>
          <w:rtl w:val="0"/>
        </w:rPr>
        <w:t xml:space="preserve">2</w:t>
      </w:r>
      <w:r w:rsidDel="00000000" w:rsidR="00000000" w:rsidRPr="00000000">
        <w:rPr>
          <w:rFonts w:ascii="Times New Roman" w:cs="Times New Roman" w:eastAsia="Times New Roman" w:hAnsi="Times New Roman"/>
          <w:color w:val="000000"/>
          <w:sz w:val="28"/>
          <w:szCs w:val="28"/>
          <w:rtl w:val="0"/>
        </w:rPr>
        <w:t xml:space="preserve">+30</w:t>
      </w:r>
      <w:r w:rsidDel="00000000" w:rsidR="00000000" w:rsidRPr="00000000">
        <w:rPr>
          <w:rFonts w:ascii="Times New Roman" w:cs="Times New Roman" w:eastAsia="Times New Roman" w:hAnsi="Times New Roman"/>
          <w:color w:val="000000"/>
          <w:sz w:val="28"/>
          <w:szCs w:val="28"/>
          <w:vertAlign w:val="superscript"/>
          <w:rtl w:val="0"/>
        </w:rPr>
        <w:t xml:space="preserve">2</w:t>
      </w:r>
      <w:r w:rsidDel="00000000" w:rsidR="00000000" w:rsidRPr="00000000">
        <w:rPr>
          <w:rFonts w:ascii="Times New Roman" w:cs="Times New Roman" w:eastAsia="Times New Roman" w:hAnsi="Times New Roman"/>
          <w:color w:val="000000"/>
          <w:sz w:val="28"/>
          <w:szCs w:val="28"/>
          <w:rtl w:val="0"/>
        </w:rPr>
        <w:t xml:space="preserve">+40</w:t>
      </w:r>
      <w:r w:rsidDel="00000000" w:rsidR="00000000" w:rsidRPr="00000000">
        <w:rPr>
          <w:rFonts w:ascii="Times New Roman" w:cs="Times New Roman" w:eastAsia="Times New Roman" w:hAnsi="Times New Roman"/>
          <w:color w:val="000000"/>
          <w:sz w:val="28"/>
          <w:szCs w:val="28"/>
          <w:vertAlign w:val="superscript"/>
          <w:rtl w:val="0"/>
        </w:rPr>
        <w:t xml:space="preserve">2</w:t>
      </w:r>
      <w:r w:rsidDel="00000000" w:rsidR="00000000" w:rsidRPr="00000000">
        <w:rPr>
          <w:rFonts w:ascii="Times New Roman" w:cs="Times New Roman" w:eastAsia="Times New Roman" w:hAnsi="Times New Roman"/>
          <w:color w:val="000000"/>
          <w:sz w:val="28"/>
          <w:szCs w:val="28"/>
          <w:rtl w:val="0"/>
        </w:rPr>
        <w:t xml:space="preserve"> = 3400.</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964"/>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 Rào cản gia nhập, mở rộng thị trường là những yếu tố gây cản trở sự gia nhập, mở rộng thị trường của doanh nghiệp.</w:t>
      </w:r>
    </w:p>
    <w:p w:rsidR="00000000" w:rsidDel="00000000" w:rsidP="00000000" w:rsidRDefault="00000000" w:rsidRPr="00000000" w14:paraId="0000002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Chương II</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XÁC ĐỊNH THỊ TRƯỜNG LIÊN QUAN VÀ THỊ PHẦN</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1</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XÁC ĐỊNH THỊ TRƯỜNG LIÊN QUAN</w:t>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 Thị trường liên quan </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95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Thị trường liên quan được xác định trên cơ sở thị trường sản phẩm liên quan và thị trường địa lý liên quan.</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5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Trong quá trình xác định thị trường liên quan, Ủy ban Cạnh tranh Quốc gia có quyền tham vấn ý kiến của các cơ quan quản lý ngành, lĩnh vực, các doanh nghiệp, tổ chức và cá nhân có chuyên môn.</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 Xác định thị trường sản phẩm liên quan </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95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Thị trường sản phẩm liên quan là thị trường của những </w:t>
      </w:r>
      <w:r w:rsidDel="00000000" w:rsidR="00000000" w:rsidRPr="00000000">
        <w:rPr>
          <w:rFonts w:ascii="Times New Roman" w:cs="Times New Roman" w:eastAsia="Times New Roman" w:hAnsi="Times New Roman"/>
          <w:i w:val="1"/>
          <w:iCs w:val="1"/>
          <w:color w:val="000000"/>
          <w:sz w:val="28"/>
          <w:szCs w:val="28"/>
          <w:rtl w:val="0"/>
        </w:rPr>
        <w:t xml:space="preserve">sản phẩm, </w:t>
      </w:r>
      <w:r w:rsidDel="00000000" w:rsidR="00000000" w:rsidRPr="00000000">
        <w:rPr>
          <w:rFonts w:ascii="Times New Roman" w:cs="Times New Roman" w:eastAsia="Times New Roman" w:hAnsi="Times New Roman"/>
          <w:color w:val="000000"/>
          <w:sz w:val="28"/>
          <w:szCs w:val="28"/>
          <w:rtl w:val="0"/>
        </w:rPr>
        <w:t xml:space="preserve">hàng hóa, dịch vụ có thể thay thế cho nhau về đặc tính, mục đích sử dụng và giá cả </w:t>
      </w:r>
      <w:r w:rsidDel="00000000" w:rsidR="00000000" w:rsidRPr="00000000">
        <w:rPr>
          <w:rFonts w:ascii="Times New Roman" w:cs="Times New Roman" w:eastAsia="Times New Roman" w:hAnsi="Times New Roman"/>
          <w:i w:val="1"/>
          <w:iCs w:val="1"/>
          <w:color w:val="000000"/>
          <w:sz w:val="28"/>
          <w:szCs w:val="28"/>
          <w:rtl w:val="0"/>
        </w:rPr>
        <w:t xml:space="preserve">hoặc các yếu tố cạnh tranh khác có liên quan</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53"/>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được coi là có thể thay thế cho nhau về đặc tính nếu </w:t>
      </w:r>
      <w:r w:rsidDel="00000000" w:rsidR="00000000" w:rsidRPr="00000000">
        <w:rPr>
          <w:rFonts w:ascii="Times New Roman" w:cs="Times New Roman" w:eastAsia="Times New Roman" w:hAnsi="Times New Roman"/>
          <w:i w:val="1"/>
          <w:iCs w:val="1"/>
          <w:color w:val="000000"/>
          <w:sz w:val="28"/>
          <w:szCs w:val="28"/>
          <w:rtl w:val="0"/>
        </w:rPr>
        <w:t xml:space="preserve">sản phẩm, </w:t>
      </w:r>
      <w:r w:rsidDel="00000000" w:rsidR="00000000" w:rsidRPr="00000000">
        <w:rPr>
          <w:rFonts w:ascii="Times New Roman" w:cs="Times New Roman" w:eastAsia="Times New Roman" w:hAnsi="Times New Roman"/>
          <w:color w:val="000000"/>
          <w:sz w:val="28"/>
          <w:szCs w:val="28"/>
          <w:rtl w:val="0"/>
        </w:rPr>
        <w:t xml:space="preserve">hàng hóa, dịch vụ đó có sự giống nhau hoặc tương tự nhau về một hoặc một số yếu tố như sau:</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005"/>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Đặc điểm của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027"/>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Thành phần của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027"/>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Tính chất vật lý, hóa học của hàng hóa;</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027"/>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Tính năng kỹ thuật của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Tác dụng phụ của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đối với người sử dụng;</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027"/>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Khả năng hấp thu của người sử dụng;</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Tính chất riêng biệt khác của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964"/>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được coi là có thể thay thế cho nhau về mục đích sử dụng nếu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đó có mục đích sử dụng chủ yếu giống nhau.</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970"/>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được coi là có thể thay thế cho nhau về giá cả khi giá của hàng hóa, dịch vụ chênh lệch nhau không quá 5% hoặc mức khác phù hợp với đặc điểm của thị trường trong điều kiện giao dịch tương tự. Trường hợp có sự chênh lệch nhau trên 5%, Ủy ban Cạnh tranh Quốc gia xác định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có thể thay thế cho nhau về giá cả căn cứ thêm vào một số yếu tố quy định tại khoản 5 hoặc thực hiện theo phương pháp quy định tại khoản 6 Điều này.</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970"/>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Trường hợp việc xác định thuộc tính có thể thay thế cho nhau của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quy định tại khoản 2, 3, 4 Điều này chưa đủ để kết luận về thị trường sản phẩm liên quan, Ủy ban Cạnh tranh Quốc gia xem xét thêm một hoặc một số yếu tố như sau:</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975"/>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Tỷ lệ thay đổi về cầu của một loại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khi có sự thay đổi về giá của một loại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khác;</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99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Chi phí và thời gian cần thiết để khách hàng chuyển sang mua hoặc sử dụng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khác;</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02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Thời gian sử dụng của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02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Tập quán tiêu dùng;</w:t>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92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Các quy định pháp luật tác động đến khả năng thay thế của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963"/>
          <w:tab w:val="center" w:leader="none" w:pos="492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Khả năng phân biệt về mức giá mua, bán đối với các nhóm khách hàng khác nhau;</w:t>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92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Khả năng thay thế về cung của một loại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theo quy định tại Điều 5 của Nghị định này.</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92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Khi cần thiết, Ủy ban Cạnh tranh Quốc gia có thể xác định thuộc tính có thể thay thế cho nhau về giá cả theo phương pháp như sau:</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Sản phẩm, hàng hóa, dịch vụ được coi là có thể thay thế cho nhau về giá cả nếu có ít nhất 35% của một lượng mẫu ngẫu nhiên 1.000 người tiêu dùng sinh sống tại khu vực địa lý liên quan chuyển sang mua hoặc có ý định mua </w:t>
      </w:r>
      <w:r w:rsidDel="00000000" w:rsidR="00000000" w:rsidRPr="00000000">
        <w:rPr>
          <w:rFonts w:ascii="Times New Roman" w:cs="Times New Roman" w:eastAsia="Times New Roman" w:hAnsi="Times New Roman"/>
          <w:i w:val="1"/>
          <w:iCs w:val="1"/>
          <w:color w:val="000000"/>
          <w:sz w:val="28"/>
          <w:szCs w:val="28"/>
          <w:rtl w:val="0"/>
        </w:rPr>
        <w:t xml:space="preserve">sản phẩm, </w:t>
      </w:r>
      <w:r w:rsidDel="00000000" w:rsidR="00000000" w:rsidRPr="00000000">
        <w:rPr>
          <w:rFonts w:ascii="Times New Roman" w:cs="Times New Roman" w:eastAsia="Times New Roman" w:hAnsi="Times New Roman"/>
          <w:color w:val="000000"/>
          <w:sz w:val="28"/>
          <w:szCs w:val="28"/>
          <w:rtl w:val="0"/>
        </w:rPr>
        <w:t xml:space="preserve">hàng hóa, dịch vụ khác có đặc tính, mục đích sử dụng giống với </w:t>
      </w:r>
      <w:r w:rsidDel="00000000" w:rsidR="00000000" w:rsidRPr="00000000">
        <w:rPr>
          <w:rFonts w:ascii="Times New Roman" w:cs="Times New Roman" w:eastAsia="Times New Roman" w:hAnsi="Times New Roman"/>
          <w:i w:val="1"/>
          <w:iCs w:val="1"/>
          <w:color w:val="000000"/>
          <w:sz w:val="28"/>
          <w:szCs w:val="28"/>
          <w:rtl w:val="0"/>
        </w:rPr>
        <w:t xml:space="preserve">sản phẩm, </w:t>
      </w:r>
      <w:r w:rsidDel="00000000" w:rsidR="00000000" w:rsidRPr="00000000">
        <w:rPr>
          <w:rFonts w:ascii="Times New Roman" w:cs="Times New Roman" w:eastAsia="Times New Roman" w:hAnsi="Times New Roman"/>
          <w:color w:val="000000"/>
          <w:sz w:val="28"/>
          <w:szCs w:val="28"/>
          <w:rtl w:val="0"/>
        </w:rPr>
        <w:t xml:space="preserve">hàng hóa, dịch vụ mà họ đang sử dụng hoặc có ý định sử dụng trong trường hợp giá của </w:t>
      </w:r>
      <w:r w:rsidDel="00000000" w:rsidR="00000000" w:rsidRPr="00000000">
        <w:rPr>
          <w:rFonts w:ascii="Times New Roman" w:cs="Times New Roman" w:eastAsia="Times New Roman" w:hAnsi="Times New Roman"/>
          <w:i w:val="1"/>
          <w:iCs w:val="1"/>
          <w:color w:val="000000"/>
          <w:sz w:val="28"/>
          <w:szCs w:val="28"/>
          <w:rtl w:val="0"/>
        </w:rPr>
        <w:t xml:space="preserve">sản phẩm, </w:t>
      </w:r>
      <w:r w:rsidDel="00000000" w:rsidR="00000000" w:rsidRPr="00000000">
        <w:rPr>
          <w:rFonts w:ascii="Times New Roman" w:cs="Times New Roman" w:eastAsia="Times New Roman" w:hAnsi="Times New Roman"/>
          <w:color w:val="000000"/>
          <w:sz w:val="28"/>
          <w:szCs w:val="28"/>
          <w:rtl w:val="0"/>
        </w:rPr>
        <w:t xml:space="preserve">hàng hóa, dịch vụ đó tăng lên quá 10% và được duy trì trong 06 tháng liên tiếp.</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Trường hợp số người tiêu dùng sinh sống tại khu vực địa lý liên quan quy định tại điểm này không đủ 1.000 người thì lượng mẫu ngẫu nhiên được xác định tối thiểu bằng 50% tổng số người tiêu dùng trong khu vực địa lý đó.</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 Xác định khả năng thay thế về cung </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Khả năng thay thế về cung là việc các doanh nghiệp đang sản xuất, kinh doanh một loại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có khả năng gia tăng sản lượng, số lượng bán hoặc các doanh nghiệp khác bắt đầu hoặc chuyển sang sản xuất, kinh doanh sản phẩm, </w:t>
      </w:r>
      <w:r w:rsidDel="00000000" w:rsidR="00000000" w:rsidRPr="00000000">
        <w:rPr>
          <w:rFonts w:ascii="Times New Roman" w:cs="Times New Roman" w:eastAsia="Times New Roman" w:hAnsi="Times New Roman"/>
          <w:i w:val="1"/>
          <w:iCs w:val="1"/>
          <w:color w:val="000000"/>
          <w:sz w:val="28"/>
          <w:szCs w:val="28"/>
          <w:rtl w:val="0"/>
        </w:rPr>
        <w:t xml:space="preserve">hàng hóa, dịch vụ</w:t>
      </w:r>
      <w:r w:rsidDel="00000000" w:rsidR="00000000" w:rsidRPr="00000000">
        <w:rPr>
          <w:rFonts w:ascii="Times New Roman" w:cs="Times New Roman" w:eastAsia="Times New Roman" w:hAnsi="Times New Roman"/>
          <w:color w:val="000000"/>
          <w:sz w:val="28"/>
          <w:szCs w:val="28"/>
          <w:rtl w:val="0"/>
        </w:rPr>
        <w:t xml:space="preserve"> đó trong thời gian dưới 06 tháng mà không có sự tăng lên đáng kể về chi phí nếu giá cả của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đó tăng lên từ 5% đến 10%.</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4735"/>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6. Xác định thị trường sản phẩm liên quan trong trường hợp đặc biệt</w:t>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941"/>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Thị trường sản phẩm liên quan trong trường hợp đặc biệt có thể được xác định là thị trường của một hoặc một nhóm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đặc thù căn cứ vào đặc tính của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đó; tập quán tiêu dùng;  phương thức giao dịch đặc thù, bao gồm cả các phương thức có sử dụng công nghệ thông tin </w:t>
      </w:r>
      <w:r w:rsidDel="00000000" w:rsidR="00000000" w:rsidRPr="00000000">
        <w:rPr>
          <w:rFonts w:ascii="Times New Roman" w:cs="Times New Roman" w:eastAsia="Times New Roman" w:hAnsi="Times New Roman"/>
          <w:i w:val="1"/>
          <w:iCs w:val="1"/>
          <w:color w:val="000000"/>
          <w:sz w:val="28"/>
          <w:szCs w:val="28"/>
          <w:rtl w:val="0"/>
        </w:rPr>
        <w:t xml:space="preserve">hoặc thuộc tính thay thế cho nhau về các yếu tố cạnh tranh khác có liên quan, bao gồm cả chất lượng của sản phẩm, hàng hóa, dịch vụ. </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941"/>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Khi xác định thị trường sản phẩm liên quan trong trường hợp quy định tại khoản 1 Điều này có thể xem xét thêm thị trường của các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bổ trợ cho sản phẩm liên quan.</w:t>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930"/>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Sản phẩm bổ trợ cho sản phẩm liên quan là các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được sử dụng nhằm nâng cao tính năng, hiệu quả hoặc cần thiết cho việc sử dụng sản phẩm liên quan. Theo đó, khi giá của sản phẩm bổ trợ tăng hoặc giảm thì cầu đối với sản phẩm liên quan sẽ giảm hoặc tăng tương ứng.</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7. Xác định thị trường địa lý liên quan </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95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Thị trường địa lý liên quan là khu vực địa lý </w:t>
      </w:r>
      <w:r w:rsidDel="00000000" w:rsidR="00000000" w:rsidRPr="00000000">
        <w:rPr>
          <w:rFonts w:ascii="Times New Roman" w:cs="Times New Roman" w:eastAsia="Times New Roman" w:hAnsi="Times New Roman"/>
          <w:i w:val="1"/>
          <w:iCs w:val="1"/>
          <w:color w:val="000000"/>
          <w:sz w:val="28"/>
          <w:szCs w:val="28"/>
          <w:rtl w:val="0"/>
        </w:rPr>
        <w:t xml:space="preserve">hoặc phạm vi không gian</w:t>
      </w:r>
      <w:r w:rsidDel="00000000" w:rsidR="00000000" w:rsidRPr="00000000">
        <w:rPr>
          <w:rFonts w:ascii="Times New Roman" w:cs="Times New Roman" w:eastAsia="Times New Roman" w:hAnsi="Times New Roman"/>
          <w:color w:val="000000"/>
          <w:sz w:val="28"/>
          <w:szCs w:val="28"/>
          <w:rtl w:val="0"/>
        </w:rPr>
        <w:t xml:space="preserve"> cụ thể trong đó có những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được cung cấp có thể thay thế cho nhau với các điều kiện cạnh tranh tương tự và có sự khác biệt đáng kể với các khu vực địa lý lân cận </w:t>
      </w:r>
      <w:r w:rsidDel="00000000" w:rsidR="00000000" w:rsidRPr="00000000">
        <w:rPr>
          <w:rFonts w:ascii="Times New Roman" w:cs="Times New Roman" w:eastAsia="Times New Roman" w:hAnsi="Times New Roman"/>
          <w:i w:val="1"/>
          <w:iCs w:val="1"/>
          <w:color w:val="000000"/>
          <w:sz w:val="28"/>
          <w:szCs w:val="28"/>
          <w:rtl w:val="0"/>
        </w:rPr>
        <w:t xml:space="preserve">hoặc phạm vi không gian</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khác</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931"/>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Ranh giới của khu vực địa lý </w:t>
      </w:r>
      <w:r w:rsidDel="00000000" w:rsidR="00000000" w:rsidRPr="00000000">
        <w:rPr>
          <w:rFonts w:ascii="Times New Roman" w:cs="Times New Roman" w:eastAsia="Times New Roman" w:hAnsi="Times New Roman"/>
          <w:i w:val="1"/>
          <w:iCs w:val="1"/>
          <w:color w:val="000000"/>
          <w:sz w:val="28"/>
          <w:szCs w:val="28"/>
          <w:rtl w:val="0"/>
        </w:rPr>
        <w:t xml:space="preserve">hoặc phạm vi không gian </w:t>
      </w:r>
      <w:r w:rsidDel="00000000" w:rsidR="00000000" w:rsidRPr="00000000">
        <w:rPr>
          <w:rFonts w:ascii="Times New Roman" w:cs="Times New Roman" w:eastAsia="Times New Roman" w:hAnsi="Times New Roman"/>
          <w:color w:val="000000"/>
          <w:sz w:val="28"/>
          <w:szCs w:val="28"/>
          <w:rtl w:val="0"/>
        </w:rPr>
        <w:t xml:space="preserve">quy định tại khoản 1 Điều này được xác định căn cứ theo </w:t>
      </w:r>
      <w:r w:rsidDel="00000000" w:rsidR="00000000" w:rsidRPr="00000000">
        <w:rPr>
          <w:rFonts w:ascii="Times New Roman" w:cs="Times New Roman" w:eastAsia="Times New Roman" w:hAnsi="Times New Roman"/>
          <w:i w:val="1"/>
          <w:iCs w:val="1"/>
          <w:color w:val="000000"/>
          <w:sz w:val="28"/>
          <w:szCs w:val="28"/>
          <w:rtl w:val="0"/>
        </w:rPr>
        <w:t xml:space="preserve">một số trong các</w:t>
      </w:r>
      <w:r w:rsidDel="00000000" w:rsidR="00000000" w:rsidRPr="00000000">
        <w:rPr>
          <w:rFonts w:ascii="Times New Roman" w:cs="Times New Roman" w:eastAsia="Times New Roman" w:hAnsi="Times New Roman"/>
          <w:color w:val="000000"/>
          <w:sz w:val="28"/>
          <w:szCs w:val="28"/>
          <w:rtl w:val="0"/>
        </w:rPr>
        <w:t xml:space="preserve"> yếu tố sau đây:</w:t>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975"/>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Khu vực địa lý có cơ sở kinh doanh, </w:t>
      </w:r>
      <w:r w:rsidDel="00000000" w:rsidR="00000000" w:rsidRPr="00000000">
        <w:rPr>
          <w:rFonts w:ascii="Times New Roman" w:cs="Times New Roman" w:eastAsia="Times New Roman" w:hAnsi="Times New Roman"/>
          <w:i w:val="1"/>
          <w:iCs w:val="1"/>
          <w:color w:val="000000"/>
          <w:sz w:val="28"/>
          <w:szCs w:val="28"/>
          <w:rtl w:val="0"/>
        </w:rPr>
        <w:t xml:space="preserve">hạ tầng cung ứng hoặc phạm vi không gian cung cấp</w:t>
      </w:r>
      <w:r w:rsidDel="00000000" w:rsidR="00000000" w:rsidRPr="00000000">
        <w:rPr>
          <w:rFonts w:ascii="Times New Roman" w:cs="Times New Roman" w:eastAsia="Times New Roman" w:hAnsi="Times New Roman"/>
          <w:color w:val="000000"/>
          <w:sz w:val="28"/>
          <w:szCs w:val="28"/>
          <w:rtl w:val="0"/>
        </w:rPr>
        <w:t xml:space="preserve"> của doanh nghiệp tham gia </w:t>
      </w:r>
      <w:r w:rsidDel="00000000" w:rsidR="00000000" w:rsidRPr="00000000">
        <w:rPr>
          <w:rFonts w:ascii="Times New Roman" w:cs="Times New Roman" w:eastAsia="Times New Roman" w:hAnsi="Times New Roman"/>
          <w:i w:val="1"/>
          <w:iCs w:val="1"/>
          <w:color w:val="000000"/>
          <w:sz w:val="28"/>
          <w:szCs w:val="28"/>
          <w:rtl w:val="0"/>
        </w:rPr>
        <w:t xml:space="preserve">kinh doanh sản phẩm,</w:t>
      </w:r>
      <w:r w:rsidDel="00000000" w:rsidR="00000000" w:rsidRPr="00000000">
        <w:rPr>
          <w:rFonts w:ascii="Times New Roman" w:cs="Times New Roman" w:eastAsia="Times New Roman" w:hAnsi="Times New Roman"/>
          <w:color w:val="000000"/>
          <w:sz w:val="28"/>
          <w:szCs w:val="28"/>
          <w:rtl w:val="0"/>
        </w:rPr>
        <w:t xml:space="preserve"> hàng hóa, dịch vụ liên quan;</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986"/>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Khu vực địa lý lân cận, </w:t>
      </w:r>
      <w:r w:rsidDel="00000000" w:rsidR="00000000" w:rsidRPr="00000000">
        <w:rPr>
          <w:rFonts w:ascii="Times New Roman" w:cs="Times New Roman" w:eastAsia="Times New Roman" w:hAnsi="Times New Roman"/>
          <w:i w:val="1"/>
          <w:iCs w:val="1"/>
          <w:color w:val="000000"/>
          <w:sz w:val="28"/>
          <w:szCs w:val="28"/>
          <w:rtl w:val="0"/>
        </w:rPr>
        <w:t xml:space="preserve">phạm vi không gian</w:t>
      </w:r>
      <w:r w:rsidDel="00000000" w:rsidR="00000000" w:rsidRPr="00000000">
        <w:rPr>
          <w:rFonts w:ascii="Times New Roman" w:cs="Times New Roman" w:eastAsia="Times New Roman" w:hAnsi="Times New Roman"/>
          <w:color w:val="000000"/>
          <w:sz w:val="28"/>
          <w:szCs w:val="28"/>
          <w:rtl w:val="0"/>
        </w:rPr>
        <w:t xml:space="preserve"> đủ gần với khu vực địa lý, </w:t>
      </w:r>
      <w:r w:rsidDel="00000000" w:rsidR="00000000" w:rsidRPr="00000000">
        <w:rPr>
          <w:rFonts w:ascii="Times New Roman" w:cs="Times New Roman" w:eastAsia="Times New Roman" w:hAnsi="Times New Roman"/>
          <w:i w:val="1"/>
          <w:iCs w:val="1"/>
          <w:color w:val="000000"/>
          <w:sz w:val="28"/>
          <w:szCs w:val="28"/>
          <w:rtl w:val="0"/>
        </w:rPr>
        <w:t xml:space="preserve">phạm vi không gian</w:t>
      </w:r>
      <w:r w:rsidDel="00000000" w:rsidR="00000000" w:rsidRPr="00000000">
        <w:rPr>
          <w:rFonts w:ascii="Times New Roman" w:cs="Times New Roman" w:eastAsia="Times New Roman" w:hAnsi="Times New Roman"/>
          <w:color w:val="000000"/>
          <w:sz w:val="28"/>
          <w:szCs w:val="28"/>
          <w:rtl w:val="0"/>
        </w:rPr>
        <w:t xml:space="preserve"> quy định tại điểm a khoản này </w:t>
      </w:r>
      <w:r w:rsidDel="00000000" w:rsidR="00000000" w:rsidRPr="00000000">
        <w:rPr>
          <w:rFonts w:ascii="Times New Roman" w:cs="Times New Roman" w:eastAsia="Times New Roman" w:hAnsi="Times New Roman"/>
          <w:i w:val="1"/>
          <w:iCs w:val="1"/>
          <w:color w:val="000000"/>
          <w:sz w:val="28"/>
          <w:szCs w:val="28"/>
          <w:rtl w:val="0"/>
        </w:rPr>
        <w:t xml:space="preserve">có cơ sở kinh doanh, hạ tầng cung ứng</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hoặc phạm vi cung cấp</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của doanh nghiệp khác</w:t>
      </w:r>
      <w:r w:rsidDel="00000000" w:rsidR="00000000" w:rsidRPr="00000000">
        <w:rPr>
          <w:rFonts w:ascii="Times New Roman" w:cs="Times New Roman" w:eastAsia="Times New Roman" w:hAnsi="Times New Roman"/>
          <w:color w:val="000000"/>
          <w:sz w:val="28"/>
          <w:szCs w:val="28"/>
          <w:rtl w:val="0"/>
        </w:rPr>
        <w:t xml:space="preserve"> tham gia cạnh tranh với các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liên quan trên khu vực địa lý, </w:t>
      </w:r>
      <w:r w:rsidDel="00000000" w:rsidR="00000000" w:rsidRPr="00000000">
        <w:rPr>
          <w:rFonts w:ascii="Times New Roman" w:cs="Times New Roman" w:eastAsia="Times New Roman" w:hAnsi="Times New Roman"/>
          <w:i w:val="1"/>
          <w:iCs w:val="1"/>
          <w:color w:val="000000"/>
          <w:sz w:val="28"/>
          <w:szCs w:val="28"/>
          <w:rtl w:val="0"/>
        </w:rPr>
        <w:t xml:space="preserve">phạm vi không gian</w:t>
      </w:r>
      <w:r w:rsidDel="00000000" w:rsidR="00000000" w:rsidRPr="00000000">
        <w:rPr>
          <w:rFonts w:ascii="Times New Roman" w:cs="Times New Roman" w:eastAsia="Times New Roman" w:hAnsi="Times New Roman"/>
          <w:color w:val="000000"/>
          <w:sz w:val="28"/>
          <w:szCs w:val="28"/>
          <w:rtl w:val="0"/>
        </w:rPr>
        <w:t xml:space="preserve"> đó;</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02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Chi phí vận chuyển hàng hóa, cung ứng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dịch vụ;</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102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Thời gian vận chuyển hàng hóa, cung ứng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dịch vụ;</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Rào cản gia nhập, mở rộng thị trường;</w:t>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102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Tập quán tiêu dùng;</w:t>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016"/>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Chi phí, thời gian để khách hàng mua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016"/>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h) Khả năng tiếp cận, mua và sử dụng sản phẩm, hàng hóa, dịch vụ liên quan của khách hàng, người sử dụng tại khu vực địa lý lân cận hoặc phạm vi không gian khác.</w:t>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953"/>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Khu vực địa lý được coi là có điều kiện cạnh tranh tương tự và khác biệt đáng kể với các khu vực địa lý lân cận nếu thỏa mãn một trong các tiêu chí sau đây:</w:t>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970"/>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Chi phí vận chuyển và thời gian vận chuyển làm giá của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tăng không quá 10%;</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99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Có sự hiện diện của một trong các rào cản gia nhập, mở rộng thị trường quy định tại Điều 8 của Nghị định này.</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8. Rào cản gia nhập, mở rộng thị trường </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Các loại rào cản gia nhập, mở rộng thị trường bao gồm:</w:t>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95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Rào cản pháp lý tạo ra bởi các quy định của pháp luật, chính sách của nhà nước bao gồm các quy định về thuế nhập khẩu và hạn ngạch nhập khẩu; quy chuẩn kỹ thuật; các điều kiện, thủ tục để sản xuất, kinh doanh </w:t>
      </w:r>
      <w:r w:rsidDel="00000000" w:rsidR="00000000" w:rsidRPr="00000000">
        <w:rPr>
          <w:rFonts w:ascii="Times New Roman" w:cs="Times New Roman" w:eastAsia="Times New Roman" w:hAnsi="Times New Roman"/>
          <w:i w:val="1"/>
          <w:iCs w:val="1"/>
          <w:color w:val="000000"/>
          <w:sz w:val="28"/>
          <w:szCs w:val="28"/>
          <w:rtl w:val="0"/>
        </w:rPr>
        <w:t xml:space="preserve">sản phẩm, </w:t>
      </w:r>
      <w:r w:rsidDel="00000000" w:rsidR="00000000" w:rsidRPr="00000000">
        <w:rPr>
          <w:rFonts w:ascii="Times New Roman" w:cs="Times New Roman" w:eastAsia="Times New Roman" w:hAnsi="Times New Roman"/>
          <w:color w:val="000000"/>
          <w:sz w:val="28"/>
          <w:szCs w:val="28"/>
          <w:rtl w:val="0"/>
        </w:rPr>
        <w:t xml:space="preserve">hàng hóa, dịch vụ; quy định về sử dụng </w:t>
      </w:r>
      <w:r w:rsidDel="00000000" w:rsidR="00000000" w:rsidRPr="00000000">
        <w:rPr>
          <w:rFonts w:ascii="Times New Roman" w:cs="Times New Roman" w:eastAsia="Times New Roman" w:hAnsi="Times New Roman"/>
          <w:i w:val="1"/>
          <w:iCs w:val="1"/>
          <w:color w:val="000000"/>
          <w:sz w:val="28"/>
          <w:szCs w:val="28"/>
          <w:rtl w:val="0"/>
        </w:rPr>
        <w:t xml:space="preserve">sản phẩm, </w:t>
      </w:r>
      <w:r w:rsidDel="00000000" w:rsidR="00000000" w:rsidRPr="00000000">
        <w:rPr>
          <w:rFonts w:ascii="Times New Roman" w:cs="Times New Roman" w:eastAsia="Times New Roman" w:hAnsi="Times New Roman"/>
          <w:color w:val="000000"/>
          <w:sz w:val="28"/>
          <w:szCs w:val="28"/>
          <w:rtl w:val="0"/>
        </w:rPr>
        <w:t xml:space="preserve">hàng hóa, dịch vụ; tiêu chuẩn nghề nghiệp và các quyết định hành chính khác của các cơ quan quản lý nhà nước.</w:t>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95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Rào cản tài chính bao gồm chi phí đầu tư sản xuất, kinh doanh </w:t>
      </w:r>
      <w:r w:rsidDel="00000000" w:rsidR="00000000" w:rsidRPr="00000000">
        <w:rPr>
          <w:rFonts w:ascii="Times New Roman" w:cs="Times New Roman" w:eastAsia="Times New Roman" w:hAnsi="Times New Roman"/>
          <w:i w:val="1"/>
          <w:iCs w:val="1"/>
          <w:color w:val="000000"/>
          <w:sz w:val="28"/>
          <w:szCs w:val="28"/>
          <w:rtl w:val="0"/>
        </w:rPr>
        <w:t xml:space="preserve">sản phẩm, </w:t>
      </w:r>
      <w:r w:rsidDel="00000000" w:rsidR="00000000" w:rsidRPr="00000000">
        <w:rPr>
          <w:rFonts w:ascii="Times New Roman" w:cs="Times New Roman" w:eastAsia="Times New Roman" w:hAnsi="Times New Roman"/>
          <w:color w:val="000000"/>
          <w:sz w:val="28"/>
          <w:szCs w:val="28"/>
          <w:rtl w:val="0"/>
        </w:rPr>
        <w:t xml:space="preserve">hàng hóa, dịch vụ, khả năng tiếp cận nguồn vốn, tín dụng và các nguồn tài chính khác của doanh nghiệp.</w:t>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988"/>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Chi phí ban đầu khi gia nhập thị trường mà doanh nghiệp không thể thu hồi khi rút khỏi thị trường.</w:t>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964"/>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Rào cản đối với việc tiếp cận, nắm giữ nguồn cung, cơ sở hạ tầng thiết yếu để sản xuất, kinh doanh; mạng lưới phân phối, tiêu thụ </w:t>
      </w:r>
      <w:r w:rsidDel="00000000" w:rsidR="00000000" w:rsidRPr="00000000">
        <w:rPr>
          <w:rFonts w:ascii="Times New Roman" w:cs="Times New Roman" w:eastAsia="Times New Roman" w:hAnsi="Times New Roman"/>
          <w:i w:val="1"/>
          <w:iCs w:val="1"/>
          <w:color w:val="000000"/>
          <w:sz w:val="28"/>
          <w:szCs w:val="28"/>
          <w:rtl w:val="0"/>
        </w:rPr>
        <w:t xml:space="preserve">sản phẩm, </w:t>
      </w:r>
      <w:r w:rsidDel="00000000" w:rsidR="00000000" w:rsidRPr="00000000">
        <w:rPr>
          <w:rFonts w:ascii="Times New Roman" w:cs="Times New Roman" w:eastAsia="Times New Roman" w:hAnsi="Times New Roman"/>
          <w:color w:val="000000"/>
          <w:sz w:val="28"/>
          <w:szCs w:val="28"/>
          <w:rtl w:val="0"/>
        </w:rPr>
        <w:t xml:space="preserve">hàng hóa, dịch vụ trên thị trường.</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Tập quán tiêu dùng.</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Thông lệ, tập quán kinh doanh.</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 Rào cản liên quan việc thực hiện quyền của tổ chức, cá nhân đối với trí tuệ, bao gồm quyền tác giả và quyền liên quan đến quyền tác giả, quyền sở hữu công nghiệp và quyền đối với giống cây trồng theo quy định của pháp luật về quyền sở hữu trí tuệ.</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8. Rào cản về kỹ thuật, công nghệ, dữ liệu, hiệu ứng mạng lưới, hệ sinh thái và chi phí chuyển đổi của khách hàng, người sử dụng.</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9. </w:t>
      </w:r>
      <w:r w:rsidDel="00000000" w:rsidR="00000000" w:rsidRPr="00000000">
        <w:rPr>
          <w:rFonts w:ascii="Times New Roman" w:cs="Times New Roman" w:eastAsia="Times New Roman" w:hAnsi="Times New Roman"/>
          <w:color w:val="000000"/>
          <w:sz w:val="28"/>
          <w:szCs w:val="28"/>
          <w:rtl w:val="0"/>
        </w:rPr>
        <w:t xml:space="preserve">Rào cản gia nhập, mở rộng thị trường khác.</w:t>
      </w:r>
    </w:p>
    <w:p w:rsidR="00000000" w:rsidDel="00000000" w:rsidP="00000000" w:rsidRDefault="00000000" w:rsidRPr="00000000" w14:paraId="0000006A">
      <w:pPr>
        <w:pBdr>
          <w:top w:space="0" w:sz="0" w:val="nil"/>
          <w:left w:space="0" w:sz="0" w:val="nil"/>
          <w:bottom w:space="0" w:sz="0" w:val="nil"/>
          <w:right w:space="0" w:sz="0" w:val="nil"/>
          <w:between w:space="0" w:sz="0" w:val="nil"/>
        </w:pBdr>
        <w:ind w:firstLine="720"/>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w:t>
      </w:r>
      <w:r w:rsidDel="00000000" w:rsidR="00000000" w:rsidRPr="00000000">
        <w:rPr>
          <w:rFonts w:ascii="Times New Roman" w:cs="Times New Roman" w:eastAsia="Times New Roman" w:hAnsi="Times New Roman"/>
          <w:b w:val="1"/>
          <w:bCs w:val="1"/>
          <w:i w:val="1"/>
          <w:iCs w:val="1"/>
          <w:color w:val="000000"/>
          <w:sz w:val="28"/>
          <w:szCs w:val="28"/>
          <w:rtl w:val="0"/>
        </w:rPr>
        <w:t xml:space="preserve">2 </w:t>
        <w:br w:type="textWrapping"/>
      </w:r>
      <w:r w:rsidDel="00000000" w:rsidR="00000000" w:rsidRPr="00000000">
        <w:rPr>
          <w:rFonts w:ascii="Times New Roman" w:cs="Times New Roman" w:eastAsia="Times New Roman" w:hAnsi="Times New Roman"/>
          <w:b w:val="1"/>
          <w:bCs w:val="1"/>
          <w:color w:val="000000"/>
          <w:sz w:val="28"/>
          <w:szCs w:val="28"/>
          <w:rtl w:val="0"/>
        </w:rPr>
        <w:t xml:space="preserve">XÁC ĐỊNH THỊ PHẦN</w:t>
      </w: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4791"/>
        </w:tabs>
        <w:spacing w:before="120"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9. Nguyên tắc xác định thị phần của doanh nghiệp trên thị trường liên quan </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Thị phần của doanh nghiệp trên thị trường liên quan được xác định theo một </w:t>
      </w:r>
      <w:r w:rsidDel="00000000" w:rsidR="00000000" w:rsidRPr="00000000">
        <w:rPr>
          <w:rFonts w:ascii="Times New Roman" w:cs="Times New Roman" w:eastAsia="Times New Roman" w:hAnsi="Times New Roman"/>
          <w:i w:val="1"/>
          <w:iCs w:val="1"/>
          <w:color w:val="000000"/>
          <w:sz w:val="28"/>
          <w:szCs w:val="28"/>
          <w:rtl w:val="0"/>
        </w:rPr>
        <w:t xml:space="preserve">hoặc một số</w:t>
      </w:r>
      <w:r w:rsidDel="00000000" w:rsidR="00000000" w:rsidRPr="00000000">
        <w:rPr>
          <w:rFonts w:ascii="Times New Roman" w:cs="Times New Roman" w:eastAsia="Times New Roman" w:hAnsi="Times New Roman"/>
          <w:color w:val="000000"/>
          <w:sz w:val="28"/>
          <w:szCs w:val="28"/>
          <w:rtl w:val="0"/>
        </w:rPr>
        <w:t xml:space="preserve"> trong các phương pháp quy định tại Điều 10 Luật Cạnh tranh </w:t>
      </w:r>
      <w:r w:rsidDel="00000000" w:rsidR="00000000" w:rsidRPr="00000000">
        <w:rPr>
          <w:rFonts w:ascii="Times New Roman" w:cs="Times New Roman" w:eastAsia="Times New Roman" w:hAnsi="Times New Roman"/>
          <w:i w:val="1"/>
          <w:iCs w:val="1"/>
          <w:color w:val="000000"/>
          <w:sz w:val="28"/>
          <w:szCs w:val="28"/>
          <w:rtl w:val="0"/>
        </w:rPr>
        <w:t xml:space="preserve">phù hợp với đặc điểm, tính chất của thị trường liên quan.</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Trong quá trình xác định thị phần, Ủy ban Cạnh tranh Quốc gia có </w:t>
      </w:r>
      <w:r w:rsidDel="00000000" w:rsidR="00000000" w:rsidRPr="00000000">
        <w:rPr>
          <w:rFonts w:ascii="Times New Roman" w:cs="Times New Roman" w:eastAsia="Times New Roman" w:hAnsi="Times New Roman"/>
          <w:i w:val="1"/>
          <w:iCs w:val="1"/>
          <w:color w:val="000000"/>
          <w:sz w:val="28"/>
          <w:szCs w:val="28"/>
          <w:rtl w:val="0"/>
        </w:rPr>
        <w:t xml:space="preserve">quyền </w:t>
      </w:r>
      <w:r w:rsidDel="00000000" w:rsidR="00000000" w:rsidRPr="00000000">
        <w:rPr>
          <w:rFonts w:ascii="Times New Roman" w:cs="Times New Roman" w:eastAsia="Times New Roman" w:hAnsi="Times New Roman"/>
          <w:color w:val="000000"/>
          <w:sz w:val="28"/>
          <w:szCs w:val="28"/>
          <w:rtl w:val="0"/>
        </w:rPr>
        <w:t xml:space="preserve">tham vấn ý kiến của các cơ quan quản lý ngành, lĩnh vực, các doanh nghiệp, tổ chức và cá nhân có chuyên môn.</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3. Doanh số mua vào để xác định thị phần của doanh nghiệp là tổng giá trị bằng tiền của các giao dịch mua vào sản phẩm, hàng hóa, dịch vụ của doanh nghiệp trên thị trường liên quan phát sinh trong kỳ xác định thị phần theo tháng, quý hoặc năm và không bao gồm các giao dịch đã bị hủy bỏ, hoàn trả hoặc không được thực hiện.</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4. Doanh thu bán ra để xác định thị phần của doanh nghiệp là tổng giá trị bằng tiền của các giao dịch bán ra sản phẩm, hàng hóa, dịch vụ của doanh nghiệp trên thị trường liên quan phát sinh trong kỳ xác định thị phần theo tháng, quý hoặc năm sau khi trừ các khoản giảm trừ doanh thu theo quy định của pháp luật về kế toán và không bao gồm các giao dịch đã bị hủy bỏ, hoàn trả hoặc không được thực hiện.</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5. Giá trị giao dịch của doanh nghiệp để xác định thị phần là tổng giá trị bằng tiền của các giao dịch sản phẩm, hàng hóa, dịch vụ của doanh nghiệp phát sinh trong kỳ xác định thị phần theo tháng, quý hoặc năm. Đối với doanh nghiệp cung cấp nền tảng số để các bên thực hiện giao dịch, giá trị giao dịch của doanh nghiệp được xác định bằng tổng giá trị bằng tiền của các giao dịch sản phẩm, hàng hóa, dịch vụ được thực hiện trên nền tảng số do doanh nghiệp đó cung cấp trong kỳ xác định thị phần theo tháng, quý hoặc năm. Giá trị giao dịch không bao gồm giá trị của các giao dịch đã bị hủy bỏ hoặc hoàn trả theo quy định của pháp luật.</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6. Trong trường hợp doanh nghiệp hoạt động kinh doanh chưa đủ 01 năm tài chính thì doanh thu bán ra, doanh số mua vào, số đơn vị sản phẩm, hàng hóa, dịch vụ bán ra, số đơn vị sản phẩm, hàng hóa, dịch vụ mua vào, số lượng giao dịch, giá trị giao dịch sản phẩm, hàng hóa, dịch vụ để xác định thị phần được tính từ thời điểm doanh nghiệp bắt đầu hoạt động cho đến thời điểm xác định thị phần.</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10. Xác định thị phần của nhóm doanh nghiệp liên kết </w:t>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944"/>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Doanh thu bán ra, doanh số mua vào, số đơn vị bán ra, mua vào, </w:t>
      </w:r>
      <w:r w:rsidDel="00000000" w:rsidR="00000000" w:rsidRPr="00000000">
        <w:rPr>
          <w:rFonts w:ascii="Times New Roman" w:cs="Times New Roman" w:eastAsia="Times New Roman" w:hAnsi="Times New Roman"/>
          <w:i w:val="1"/>
          <w:iCs w:val="1"/>
          <w:color w:val="000000"/>
          <w:sz w:val="28"/>
          <w:szCs w:val="28"/>
          <w:rtl w:val="0"/>
        </w:rPr>
        <w:t xml:space="preserve">số lượng giao dịch, giá trị giao dịch</w:t>
      </w:r>
      <w:r w:rsidDel="00000000" w:rsidR="00000000" w:rsidRPr="00000000">
        <w:rPr>
          <w:rFonts w:ascii="Times New Roman" w:cs="Times New Roman" w:eastAsia="Times New Roman" w:hAnsi="Times New Roman"/>
          <w:color w:val="000000"/>
          <w:sz w:val="28"/>
          <w:szCs w:val="28"/>
          <w:rtl w:val="0"/>
        </w:rPr>
        <w:t xml:space="preserve"> đối với một loại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của nhóm doanh nghiệp liên kết được xác định như sau:</w:t>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99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Doanh thu bán ra, doanh số mua vào, số đơn vị bán ra, mua vào, </w:t>
      </w:r>
      <w:r w:rsidDel="00000000" w:rsidR="00000000" w:rsidRPr="00000000">
        <w:rPr>
          <w:rFonts w:ascii="Times New Roman" w:cs="Times New Roman" w:eastAsia="Times New Roman" w:hAnsi="Times New Roman"/>
          <w:i w:val="1"/>
          <w:iCs w:val="1"/>
          <w:color w:val="000000"/>
          <w:sz w:val="28"/>
          <w:szCs w:val="28"/>
          <w:rtl w:val="0"/>
        </w:rPr>
        <w:t xml:space="preserve">số lượng giao dịch,</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giá trị giao dịch</w:t>
      </w:r>
      <w:r w:rsidDel="00000000" w:rsidR="00000000" w:rsidRPr="00000000">
        <w:rPr>
          <w:rFonts w:ascii="Times New Roman" w:cs="Times New Roman" w:eastAsia="Times New Roman" w:hAnsi="Times New Roman"/>
          <w:color w:val="000000"/>
          <w:sz w:val="28"/>
          <w:szCs w:val="28"/>
          <w:rtl w:val="0"/>
        </w:rPr>
        <w:t xml:space="preserve"> đối với một loại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để xác định thị phần của nhóm doanh nghiệp liên kết được tính bằng tổng doanh thu bán ra, doanh số mua vào, số đơn vị bán ra, mua vào, </w:t>
      </w:r>
      <w:r w:rsidDel="00000000" w:rsidR="00000000" w:rsidRPr="00000000">
        <w:rPr>
          <w:rFonts w:ascii="Times New Roman" w:cs="Times New Roman" w:eastAsia="Times New Roman" w:hAnsi="Times New Roman"/>
          <w:i w:val="1"/>
          <w:iCs w:val="1"/>
          <w:color w:val="000000"/>
          <w:sz w:val="28"/>
          <w:szCs w:val="28"/>
          <w:rtl w:val="0"/>
        </w:rPr>
        <w:t xml:space="preserve">số lượng giao dịch, giá trị giao dịch </w:t>
      </w:r>
      <w:r w:rsidDel="00000000" w:rsidR="00000000" w:rsidRPr="00000000">
        <w:rPr>
          <w:rFonts w:ascii="Times New Roman" w:cs="Times New Roman" w:eastAsia="Times New Roman" w:hAnsi="Times New Roman"/>
          <w:color w:val="000000"/>
          <w:sz w:val="28"/>
          <w:szCs w:val="28"/>
          <w:rtl w:val="0"/>
        </w:rPr>
        <w:t xml:space="preserve">đối với loại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đó của tất cả doanh nghiệp trong nhóm doanh nghiệp liên kết;</w:t>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99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Doanh thu bán ra, doanh số mua vào, số đơn vị bán ra, mua vào đối với một loại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dịch vụ của nhóm doanh nghiệp liên kết không bao gồm doanh thu bán ra, doanh số mua vào, số đơn vị bán ra, mua vào từ việc bán </w:t>
      </w:r>
      <w:r w:rsidDel="00000000" w:rsidR="00000000" w:rsidRPr="00000000">
        <w:rPr>
          <w:rFonts w:ascii="Times New Roman" w:cs="Times New Roman" w:eastAsia="Times New Roman" w:hAnsi="Times New Roman"/>
          <w:i w:val="1"/>
          <w:iCs w:val="1"/>
          <w:color w:val="000000"/>
          <w:sz w:val="28"/>
          <w:szCs w:val="28"/>
          <w:rtl w:val="0"/>
        </w:rPr>
        <w:t xml:space="preserve">sản phẩm,</w:t>
      </w:r>
      <w:r w:rsidDel="00000000" w:rsidR="00000000" w:rsidRPr="00000000">
        <w:rPr>
          <w:rFonts w:ascii="Times New Roman" w:cs="Times New Roman" w:eastAsia="Times New Roman" w:hAnsi="Times New Roman"/>
          <w:color w:val="000000"/>
          <w:sz w:val="28"/>
          <w:szCs w:val="28"/>
          <w:rtl w:val="0"/>
        </w:rPr>
        <w:t xml:space="preserve"> hàng hóa, cung ứng dịch vụ giữa các doanh nghiệp trong nhóm doanh nghiệp liên kết.</w:t>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95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Thị phần của doanh nghiệp thuộc nhóm doanh nghiệp liên kết là thị phần của nhóm doanh nghiệp liên kết đó.</w:t>
      </w:r>
    </w:p>
    <w:p w:rsidR="00000000" w:rsidDel="00000000" w:rsidP="00000000" w:rsidRDefault="00000000" w:rsidRPr="00000000" w14:paraId="0000007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Chương III</w:t>
      </w:r>
    </w:p>
    <w:p w:rsidR="00000000" w:rsidDel="00000000" w:rsidP="00000000" w:rsidRDefault="00000000" w:rsidRPr="00000000" w14:paraId="0000007B">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i w:val="1"/>
          <w:iCs w:val="1"/>
          <w:color w:val="000000"/>
          <w:sz w:val="28"/>
          <w:szCs w:val="28"/>
        </w:rPr>
      </w:pPr>
      <w:r w:rsidDel="00000000" w:rsidR="00000000" w:rsidRPr="00000000">
        <w:rPr>
          <w:rFonts w:ascii="Times New Roman" w:cs="Times New Roman" w:eastAsia="Times New Roman" w:hAnsi="Times New Roman"/>
          <w:b w:val="1"/>
          <w:bCs w:val="1"/>
          <w:i w:val="1"/>
          <w:iCs w:val="1"/>
          <w:color w:val="000000"/>
          <w:sz w:val="28"/>
          <w:szCs w:val="28"/>
          <w:rtl w:val="0"/>
        </w:rPr>
        <w:t xml:space="preserve">THỎA THUẬN HẠN CHẾ CẠNH TRANH</w:t>
      </w:r>
    </w:p>
    <w:p w:rsidR="00000000" w:rsidDel="00000000" w:rsidP="00000000" w:rsidRDefault="00000000" w:rsidRPr="00000000" w14:paraId="0000007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6"/>
          <w:szCs w:val="6"/>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i w:val="1"/>
          <w:iCs w:val="1"/>
          <w:color w:val="000000"/>
          <w:sz w:val="28"/>
          <w:szCs w:val="28"/>
        </w:rPr>
      </w:pPr>
      <w:r w:rsidDel="00000000" w:rsidR="00000000" w:rsidRPr="00000000">
        <w:rPr>
          <w:rFonts w:ascii="Times New Roman" w:cs="Times New Roman" w:eastAsia="Times New Roman" w:hAnsi="Times New Roman"/>
          <w:b w:val="1"/>
          <w:bCs w:val="1"/>
          <w:i w:val="1"/>
          <w:iCs w:val="1"/>
          <w:color w:val="000000"/>
          <w:sz w:val="28"/>
          <w:szCs w:val="28"/>
          <w:rtl w:val="0"/>
        </w:rPr>
        <w:t xml:space="preserve">Mục 1</w:t>
      </w:r>
    </w:p>
    <w:p w:rsidR="00000000" w:rsidDel="00000000" w:rsidP="00000000" w:rsidRDefault="00000000" w:rsidRPr="00000000" w14:paraId="0000007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ĐÁNH GIÁ TÁC ĐỘNG HOẶC KHẢ NĂNG GÂY TÁC ĐỘNG HẠN CHẾ CẠNH TRANH MỘT CÁCH ĐÁNG KỂ CỦA THỎA THUẬN HẠN CHẾ CẠNH TRANH</w:t>
      </w: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11. Nội dung đánh giá tác động hoặc khả năng gây tác động hạn chế cạnh tranh một cách đáng kể của thoả thuận hạn chế cạnh tranh</w:t>
      </w: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915"/>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Ủy ban Cạnh tranh Quốc gia đánh giá tác động hoặc khả năng gây tác động hạn chế cạnh tranh một cách đáng kể của thỏa thuận hạn chế cạnh tranh thuộc các trường hợp quy định tại khoản 3 và 4 Điều 12 của Luật Cạnh tranh.</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915"/>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Việc đánh giá tác động hoặc khả năng gây tác động hạn chế cạnh tranh một cách đáng kể của thỏa thuận hạn chế cạnh tranh được căn cứ vào một hoặc một số yếu tố như sau:</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937"/>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Diễn biến, xu hướng thay đổi mức thị phần của các doanh nghiệp tham gia thỏa thuận được đánh giá trong tương quan với các doanh nghiệp khác là đối thủ cạnh tranh không tham gia thỏa thuận;</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943"/>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Rào cản gia nhập, mở rộng thị trường được đánh giá để xác định tác động hoặc khả năng gây tác động hạn chế cạnh tranh của thỏa thuận căn cứ vào những yếu tố ảnh hưởng đến việc quyết định của doanh nghiệp khi gia nhập, mở rộng thị trường quy định tại Điều 8 Nghị định này;</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95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Hạn chế nghiên cứu, phát triển, </w:t>
      </w:r>
      <w:r w:rsidDel="00000000" w:rsidR="00000000" w:rsidRPr="00000000">
        <w:rPr>
          <w:rFonts w:ascii="Times New Roman" w:cs="Times New Roman" w:eastAsia="Times New Roman" w:hAnsi="Times New Roman"/>
          <w:i w:val="1"/>
          <w:iCs w:val="1"/>
          <w:color w:val="000000"/>
          <w:sz w:val="28"/>
          <w:szCs w:val="28"/>
          <w:rtl w:val="0"/>
        </w:rPr>
        <w:t xml:space="preserve">đổi mới sáng tạo, phát triển, ứng dụng khoa học, công nghệ, chuyển đổi số</w:t>
      </w:r>
      <w:r w:rsidDel="00000000" w:rsidR="00000000" w:rsidRPr="00000000">
        <w:rPr>
          <w:rFonts w:ascii="Times New Roman" w:cs="Times New Roman" w:eastAsia="Times New Roman" w:hAnsi="Times New Roman"/>
          <w:color w:val="000000"/>
          <w:sz w:val="28"/>
          <w:szCs w:val="28"/>
          <w:rtl w:val="0"/>
        </w:rPr>
        <w:t xml:space="preserve"> hoặc hạn chế năng lực công nghệ được đánh giá để xác định tác động hoặc khả năng gây tác động của thỏa thuận hạn chế cạnh tranh đối với mục tiêu nghiên cứu, phát triển, đổi mới công nghệ hoặc nâng cao năng lực công nghệ trong ngành và lĩnh vực liên quan;</w:t>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95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Giảm khả năng tiếp cận, nắm giữ cơ sở hạ tầng thiết yếu được đánh giá căn cứ vào mức độ thiết yếu của cơ sở hạ tầng đối với hoạt động sản xuất, kinh doanh và chi phí, thời gian để các doanh nghiệp là đối thủ cạnh tranh không tham gia thỏa thuận có thể tiếp cận, nắm giữ cơ sở hạ tầng đó hoặc cơ sở hạ tầng tương tự;</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Tăng chi phí, thời gian của khách hàng trong việc mua hàng hóa, dịch vụ của doanh nghiệp tham gia thỏa thuận hoặc khi chuyển sang mua hàng hóa, dịch vụ liên quan khác được xác định bằng việc so sánh chi phí, thời gian cần thiết của khách hàng khi mua hàng hóa, dịch vụ của doanh nghiệp tham gia thỏa thuận hoặc khi chuyển sang mua hàng hóa, dịch vụ của doanh nghiệp là đối thủ cạnh tranh trước và sau khi có thỏa thuận;</w:t>
      </w:r>
      <w:r w:rsidDel="00000000" w:rsidR="00000000" w:rsidRPr="00000000">
        <w:drawing>
          <wp:anchor allowOverlap="1" behindDoc="0" distB="0" distT="0" distL="114300" distR="114300" hidden="0" layoutInCell="1" locked="0" relativeHeight="0" simplePos="0">
            <wp:simplePos x="0" y="0"/>
            <wp:positionH relativeFrom="column">
              <wp:posOffset>949325</wp:posOffset>
            </wp:positionH>
            <wp:positionV relativeFrom="paragraph">
              <wp:posOffset>826135</wp:posOffset>
            </wp:positionV>
            <wp:extent cx="27305" cy="27305"/>
            <wp:effectExtent b="0" l="0" r="0" t="0"/>
            <wp:wrapNone/>
            <wp:docPr id="4"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7305" cy="27305"/>
                    </a:xfrm>
                    <a:prstGeom prst="rect"/>
                    <a:ln/>
                  </pic:spPr>
                </pic:pic>
              </a:graphicData>
            </a:graphic>
          </wp:anchor>
        </w:drawing>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97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Gây cản trở cạnh tranh trên thị trường thông qua kiểm soát các yếu tố đặc thù trong ngành, lĩnh vực liên quan đến các doanh nghiệp tham gia thỏa thuận được xác định dựa trên mức độ chi phối của các yếu tố đặc thù đó đối với hoạt động cạnh tranh của các doanh nghiệp trên thị trường.</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957"/>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Thỏa thuận hạn chế cạnh tranh được coi là không gây ra hoặc không có khả năng gây tác động hạn chế cạnh tranh một cách đáng kể nếu thuộc một trong các trường hợp sau:</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99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Đối với thỏa thuận hạn chế cạnh tranh giữa các doanh nghiệp trên cùng thị trường liên quan, khi thị phần kết hợp của các doanh nghiệp tham gia thoả thuận nhỏ hơn 5%;</w:t>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990"/>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Đối với thỏa thuận hạn chế cạnh tranh giữa các doanh nghiệp kinh doanh các công đoạn khác nhau trong cùng một chuỗi sản xuất, phân phối, cung ứng đối với một loại hàng hóa, dịch vụ nhất định, khi thị phần của từng doanh nghiệp tham gia thoả thuận nhỏ hơn 15%.</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Trong quá trình đánh giá tác động và khả năng gây tác </w:t>
      </w:r>
      <w:r w:rsidDel="00000000" w:rsidR="00000000" w:rsidRPr="00000000">
        <w:rPr>
          <w:rFonts w:ascii="Times New Roman" w:cs="Times New Roman" w:eastAsia="Times New Roman" w:hAnsi="Times New Roman"/>
          <w:i w:val="1"/>
          <w:iCs w:val="1"/>
          <w:color w:val="000000"/>
          <w:sz w:val="28"/>
          <w:szCs w:val="28"/>
          <w:rtl w:val="0"/>
        </w:rPr>
        <w:t xml:space="preserve">động </w:t>
      </w:r>
      <w:r w:rsidDel="00000000" w:rsidR="00000000" w:rsidRPr="00000000">
        <w:rPr>
          <w:rFonts w:ascii="Times New Roman" w:cs="Times New Roman" w:eastAsia="Times New Roman" w:hAnsi="Times New Roman"/>
          <w:color w:val="000000"/>
          <w:sz w:val="28"/>
          <w:szCs w:val="28"/>
          <w:rtl w:val="0"/>
        </w:rPr>
        <w:t xml:space="preserve">hạn chế cạnh tranh của thỏa thuận, Ủy ban Cạnh tranh Quốc gia có quyền tham vấn ý kiến của các cơ quan, tổ chức, cá nhân liên quan và yêu cầu các doanh nghiệp tham gia thỏa thuận cung cấp thông tin, tài liệu cần thiết.</w:t>
      </w:r>
    </w:p>
    <w:p w:rsidR="00000000" w:rsidDel="00000000" w:rsidP="00000000" w:rsidRDefault="00000000" w:rsidRPr="00000000" w14:paraId="0000008D">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i w:val="1"/>
          <w:iCs w:val="1"/>
          <w:color w:val="000000"/>
          <w:sz w:val="28"/>
          <w:szCs w:val="28"/>
        </w:rPr>
      </w:pPr>
      <w:r w:rsidDel="00000000" w:rsidR="00000000" w:rsidRPr="00000000">
        <w:rPr>
          <w:rFonts w:ascii="Times New Roman" w:cs="Times New Roman" w:eastAsia="Times New Roman" w:hAnsi="Times New Roman"/>
          <w:b w:val="1"/>
          <w:bCs w:val="1"/>
          <w:i w:val="1"/>
          <w:iCs w:val="1"/>
          <w:color w:val="000000"/>
          <w:sz w:val="28"/>
          <w:szCs w:val="28"/>
          <w:rtl w:val="0"/>
        </w:rPr>
        <w:t xml:space="preserve">Mục 2</w:t>
      </w:r>
    </w:p>
    <w:p w:rsidR="00000000" w:rsidDel="00000000" w:rsidP="00000000" w:rsidRDefault="00000000" w:rsidRPr="00000000" w14:paraId="0000008E">
      <w:pPr>
        <w:pBdr>
          <w:top w:space="0" w:sz="0" w:val="nil"/>
          <w:left w:space="0" w:sz="0" w:val="nil"/>
          <w:bottom w:space="0" w:sz="0" w:val="nil"/>
          <w:right w:space="0" w:sz="0" w:val="nil"/>
          <w:between w:space="0" w:sz="0" w:val="nil"/>
        </w:pBdr>
        <w:jc w:val="center"/>
        <w:rPr>
          <w:rFonts w:ascii="Times New Roman" w:cs="Times New Roman" w:eastAsia="Times New Roman" w:hAnsi="Times New Roman"/>
          <w:b w:val="1"/>
          <w:bCs w:val="1"/>
          <w:i w:val="1"/>
          <w:iCs w:val="1"/>
          <w:color w:val="000000"/>
          <w:sz w:val="28"/>
          <w:szCs w:val="28"/>
        </w:rPr>
      </w:pPr>
      <w:r w:rsidDel="00000000" w:rsidR="00000000" w:rsidRPr="00000000">
        <w:rPr>
          <w:rFonts w:ascii="Times New Roman" w:cs="Times New Roman" w:eastAsia="Times New Roman" w:hAnsi="Times New Roman"/>
          <w:b w:val="1"/>
          <w:bCs w:val="1"/>
          <w:i w:val="1"/>
          <w:iCs w:val="1"/>
          <w:color w:val="000000"/>
          <w:sz w:val="28"/>
          <w:szCs w:val="28"/>
          <w:rtl w:val="0"/>
        </w:rPr>
        <w:t xml:space="preserve">MIỄN TRỪ ĐỐI VỚI THỎA THUẬN HẠN CHẾ CẠNH TRANH BỊ CẤM</w:t>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962"/>
        </w:tabs>
        <w:ind w:firstLine="720"/>
        <w:jc w:val="both"/>
        <w:rPr>
          <w:rFonts w:ascii="Times New Roman" w:cs="Times New Roman" w:eastAsia="Times New Roman" w:hAnsi="Times New Roman"/>
          <w:b w:val="1"/>
          <w:bCs w:val="1"/>
          <w:i w:val="1"/>
          <w:iCs w:val="1"/>
          <w:color w:val="000000"/>
          <w:sz w:val="28"/>
          <w:szCs w:val="28"/>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b w:val="1"/>
          <w:bCs w:val="1"/>
          <w:i w:val="1"/>
          <w:iCs w:val="1"/>
          <w:color w:val="000000"/>
          <w:sz w:val="28"/>
          <w:szCs w:val="28"/>
          <w:rtl w:val="0"/>
        </w:rPr>
        <w:t xml:space="preserve">Điều 12. Hồ sơ đề nghị hưởng miễn trừ đối với thỏa thuận hạn chế cạnh tranh bị cấm</w:t>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1. Hồ sơ đề nghị hưởng miễn trừ đối với thỏa thuận hạn chế cạnh tranh bị cấm bao gồm:</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a) Đơn đề nghị hưởng miễn trừ đối với thỏa thuận hạn chế cạnh tranh theo mẫu được ban hành kèm theo Nghị định này;</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b) Dự thảo nội dung thỏa thuận giữa các bên hoặc các văn bản, tài liệu tương đương có nội dung liên quan đến thỏa thuận hạn chế cạnh tranh dự định thực hiện;</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c) Bản sao văn bản có giá trị tương đương Giấy chứng nhận đăng ký doanh nghiệp của từng doanh nghiệp tham gia thỏa thuận hạn chế cạnh tranh bị cấm đối với doanh nghiệp không được thành lập theo quy định của pháp luật về doanh nghiệp của Việt Nam; bản sao Điều lệ của hiệp hội ngành, nghề đối với trường hợp thỏa thuận hạn chế cạnh tranh bị cấm có sự tham gia của hiệp hội ngành, nghề;</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d) Báo cáo tài chính của từng doanh nghiệp tham gia thỏa thuận hạn chế cạnh tranh bị cấm trong 02 năm liên tiếp liền kề trước năm nộp hồ sơ đề nghị hưởng miễn trừ hoặc báo cáo tài chính từ thời điểm thành lập đến thời điểm nộp hồ sơ đề nghị hưởng miễn trừ đối với doanh nghiệp mới thành lập có xác nhận của tổ chức kiểm toán theo quy định của pháp luật;</w:t>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đ) Báo cáo giải trình cụ thể việc đáp ứng quy định tại </w:t>
      </w:r>
      <w:bookmarkStart w:colFirst="0" w:colLast="0" w:name="bookmark=id.t7wbx5ij7nc2" w:id="1"/>
      <w:bookmarkEnd w:id="1"/>
      <w:r w:rsidDel="00000000" w:rsidR="00000000" w:rsidRPr="00000000">
        <w:rPr>
          <w:rFonts w:ascii="Times New Roman" w:cs="Times New Roman" w:eastAsia="Times New Roman" w:hAnsi="Times New Roman"/>
          <w:i w:val="1"/>
          <w:iCs w:val="1"/>
          <w:color w:val="000000"/>
          <w:sz w:val="28"/>
          <w:szCs w:val="28"/>
          <w:rtl w:val="0"/>
        </w:rPr>
        <w:t xml:space="preserve">khoản 1 Điều 14 của Luật Cạnh tranh kèm theo chứng cứ để chứng minh;</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e) Văn bản ủy quyền của các bên tham gia thỏa thuận hạn chế cạnh tranh bị cấm cho bên đại diện (nếu có).</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2. Doanh nghiệp nộp hồ sơ theo hình thức trực tiếp; qua dịch vụ bưu chính hoặc trực tuyến tại Cổng Dịch vụ công quốc gia và chịu trách nhiệm về tính trung thực của hồ sơ. Tài liệu trong hồ sơ bằng tiếng nước ngoài thì phải kèm theo bản dịch tiếng Việt.</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3. Đối với giấy tờ, tài liệu của nước ngoài quy định tại điểm c, d và e khoản 1 Điều này phải được hợp pháp hóa lãnh sự theo quy định của pháp luật về hợp pháp hóa lãnh sự.</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962"/>
        </w:tabs>
        <w:spacing w:before="120" w:lineRule="auto"/>
        <w:ind w:firstLine="567"/>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b w:val="1"/>
          <w:bCs w:val="1"/>
          <w:i w:val="1"/>
          <w:iCs w:val="1"/>
          <w:color w:val="000000"/>
          <w:sz w:val="28"/>
          <w:szCs w:val="28"/>
          <w:rtl w:val="0"/>
        </w:rPr>
        <w:t xml:space="preserve">Điều 13. Tiếp nhận, thụ lý hồ sơ đề nghị hưởng miễn trừ đối với thỏa thuận hạn chế cạnh tranh bị cấm</w:t>
      </w: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1. Trong thời hạn 05 ngày làm việc kể từ ngày tiếp nhận hồ sơ đề nghị hưởng miễn trừ, Ủy ban Cạnh tranh Quốc gia có trách nhiệm thông báo bằng văn bản cho bên nộp hồ sơ về tính đầy đủ, đúng quy định của hồ sơ.</w:t>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a) Trường hợp hồ sơ đầy đủ, đúng quy định tại Điều 12 của Nghị định này, Ủy ban Cạnh tranh Quốc gia có trách nhiệm thông báo bằng văn bản về việc thụ lý hồ sơ. </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b) Trường hợp hồ sơ chưa đầy đủ, đúng quy định, Ủy ban Cạnh tranh Quốc gia có trách nhiệm thông báo bằng văn bản các nội dung cụ thể cần sửa đổi, bổ sung để các bên sửa đổi, bổ sung hồ sơ trong thời hạn 25 ngày làm việc kể từ ngày ra thông báo.</w:t>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2. Khi kết thúc thời hạn mà bên được yêu cầu không sửa đổi, bổ sung hoặc sửa đổi, bổ sung hồ sơ không đầy đủ theo yêu cầu thì Ủy ban Cạnh tranh Quốc gia trả lại hồ sơ đề nghị hưởng miễn trừ.</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3. Hồ sơ được thụ lý kể từ ngày Ủy ban Cạnh tranh Quốc gia ra thông báo theo quy định tại điểm a khoản 1 Điều này. </w:t>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b w:val="1"/>
          <w:bCs w:val="1"/>
          <w:i w:val="1"/>
          <w:iCs w:val="1"/>
          <w:color w:val="000000"/>
          <w:sz w:val="28"/>
          <w:szCs w:val="28"/>
        </w:rPr>
      </w:pPr>
      <w:r w:rsidDel="00000000" w:rsidR="00000000" w:rsidRPr="00000000">
        <w:rPr>
          <w:rFonts w:ascii="Times New Roman" w:cs="Times New Roman" w:eastAsia="Times New Roman" w:hAnsi="Times New Roman"/>
          <w:b w:val="1"/>
          <w:bCs w:val="1"/>
          <w:i w:val="1"/>
          <w:iCs w:val="1"/>
          <w:color w:val="000000"/>
          <w:sz w:val="28"/>
          <w:szCs w:val="28"/>
          <w:rtl w:val="0"/>
        </w:rPr>
        <w:t xml:space="preserve">Điều 14. Yêu cầu bổ sung thông tin, tài liệu trong quá trình xem xét hồ sơ đề nghị hưởng miễn trừ đối với thỏa thuận hạn chế cạnh tranh bị cấm</w:t>
      </w:r>
    </w:p>
    <w:p w:rsidR="00000000" w:rsidDel="00000000" w:rsidP="00000000" w:rsidRDefault="00000000" w:rsidRPr="00000000" w14:paraId="000000A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62"/>
        </w:tabs>
        <w:spacing w:after="0" w:before="120" w:line="240" w:lineRule="auto"/>
        <w:ind w:left="0" w:right="0" w:firstLine="742"/>
        <w:jc w:val="both"/>
        <w:rPr>
          <w:rFonts w:ascii="Times New Roman" w:cs="Times New Roman" w:eastAsia="Times New Roman" w:hAnsi="Times New Roman"/>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 Trong quá trình xem xét hồ sơ đề nghị hưởng miễn trừ đối với thỏa thuận hạn chế cạnh tranh bị cấm, Ủy ban Cạnh tranh Quốc gia yêu cầu bên nộp hồ sơ đề nghị hưởng miễn trừ bổ sung thông tin, tài liệu nhưng không quá 02 lần.</w:t>
      </w:r>
    </w:p>
    <w:p w:rsidR="00000000" w:rsidDel="00000000" w:rsidP="00000000" w:rsidRDefault="00000000" w:rsidRPr="00000000" w14:paraId="000000A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62"/>
        </w:tabs>
        <w:spacing w:after="0" w:before="0" w:line="240" w:lineRule="auto"/>
        <w:ind w:left="0" w:right="0" w:firstLine="742"/>
        <w:jc w:val="both"/>
        <w:rPr>
          <w:rFonts w:ascii="Times New Roman" w:cs="Times New Roman" w:eastAsia="Times New Roman" w:hAnsi="Times New Roman"/>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 Các bên nộp hồ sơ đề nghị hưởng miễn trừ đối với thỏa thuận hạn chế cạnh tranh bị cấm có trách nhiệm bổ sung thông tin, tài liệu cho Ủy ban Cạnh tranh Quốc gia theo hình thức trực tiếp; qua dịch vụ bưu chính hoặc trực tuyến tại Cổng Dịch vụ công quốc gia và chịu trách nhiệm về tính đầy đủ, trung thực, chính xác của thông tin, tài liệu được bổ sung theo yêu cầu của Ủy ban Cạnh tranh Quốc gia.</w:t>
      </w:r>
    </w:p>
    <w:p w:rsidR="00000000" w:rsidDel="00000000" w:rsidP="00000000" w:rsidRDefault="00000000" w:rsidRPr="00000000" w14:paraId="000000A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62"/>
        </w:tabs>
        <w:spacing w:after="0" w:before="0" w:line="240" w:lineRule="auto"/>
        <w:ind w:left="0" w:right="0" w:firstLine="742"/>
        <w:jc w:val="both"/>
        <w:rPr>
          <w:rFonts w:ascii="Times New Roman" w:cs="Times New Roman" w:eastAsia="Times New Roman" w:hAnsi="Times New Roman"/>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 Trường hợp bên được yêu cầu không bổ sung hoặc bổ sung không đầy đủ thông tin, tài liệu theo yêu cầu, Ủy ban Cạnh tranh Quốc gia xem xét, quyết định về việc hưởng miễn trừ đối với thỏa thuận hạn chế cạnh tranh trên cơ sở thông tin, tài liệu đã có.</w:t>
      </w:r>
    </w:p>
    <w:p w:rsidR="00000000" w:rsidDel="00000000" w:rsidP="00000000" w:rsidRDefault="00000000" w:rsidRPr="00000000" w14:paraId="000000A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62"/>
        </w:tabs>
        <w:spacing w:after="0" w:before="0" w:line="240" w:lineRule="auto"/>
        <w:ind w:left="0" w:right="0" w:firstLine="742"/>
        <w:jc w:val="both"/>
        <w:rPr>
          <w:rFonts w:ascii="Times New Roman" w:cs="Times New Roman" w:eastAsia="Times New Roman" w:hAnsi="Times New Roman"/>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 Thời gian bổ sung thông tin, tài liệu quy định tại khoản 2 Điều này không được tính vào thời hạn ra quyết định về việc hưởng miễn trừ đối với thỏa thuận hạn chế cạnh tranh bị cấm quy định tại Điều 16 của Nghị định này.</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b w:val="1"/>
          <w:bCs w:val="1"/>
          <w:i w:val="1"/>
          <w:iCs w:val="1"/>
          <w:color w:val="000000"/>
          <w:sz w:val="28"/>
          <w:szCs w:val="28"/>
          <w:rtl w:val="0"/>
        </w:rPr>
        <w:t xml:space="preserve">Điều 15. Tham vấn trong quá trình xem xét hồ sơ đề nghị hưởng miễn trừ đối với thỏa thuận hạn chế cạnh tranh bị cấm</w:t>
      </w: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1. Hồ sơ tham vấn ý kiến của cơ quan, tổ chức, cá nhân có liên quan về nội dung của thỏa thuận hạn chế cạnh tranh bị cấm đang được đề nghị hưởng miễn trừ của Ủy ban Cạnh tranh Quốc gia gồm:</w:t>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a) Văn bản nêu rõ các nội dung cần xin ý kiến của cơ quan tổ chức các nhân liên quan đến thỏa thuận hạn chế cạnh tranh bị cấm; </w:t>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b) Các tài liệu liên quan đến thỏa thuận hạn chế cạnh tranh bị cấm đang được đề nghị hưởng miễn trừ (nếu có).</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2. Trong thời hạn 10 ngày làm việc kể từ ngày nhận được đề nghị tham vấn của Ủy ban Cạnh tranh Quốc gia, cơ quan, tổ chức, cá nhân được tham vấn có trách nhiệm trả lời và cung cấp thông tin, tài liệu có liên quan về nội dung được tham vấn qua dịch vụ bưu chính, trực tuyến hoặc trục liên thông văn bản quốc gia.</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709"/>
        </w:tabs>
        <w:spacing w:before="120" w:lineRule="auto"/>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ab/>
        <w:t xml:space="preserve">3. Trường hợp cơ quan, tổ chức, cá nhân được tham vấn không cung cấp hoặc cung cấp không đầy đủ thông tin, tài liệu có liên quan về nội dung được tham vấn theo đề nghị, Ủy ban Cạnh tranh Quốc gia xem xét, quyết định về việc hưởng miễn trừ đối với thỏa thuận hạn chế cạnh tranh trên cơ sở thông tin, tài liệu đã có.</w:t>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709"/>
        </w:tabs>
        <w:spacing w:before="120" w:lineRule="auto"/>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ab/>
        <w:t xml:space="preserve">4. Thời gian cung cấp thông tin, tài liệu được tham vấn theo quy định tại khoản 2 Điều này không được tính vào thời hạn ra quyết định về việc hưởng miễn trừ đối với thỏa thuận hạn chế cạnh tranh bị cấm quy định tại Điều 16 của Nghị định này.</w:t>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b w:val="1"/>
          <w:bCs w:val="1"/>
          <w:i w:val="1"/>
          <w:iCs w:val="1"/>
          <w:color w:val="000000"/>
          <w:sz w:val="28"/>
          <w:szCs w:val="28"/>
        </w:rPr>
      </w:pPr>
      <w:r w:rsidDel="00000000" w:rsidR="00000000" w:rsidRPr="00000000">
        <w:rPr>
          <w:rFonts w:ascii="Times New Roman" w:cs="Times New Roman" w:eastAsia="Times New Roman" w:hAnsi="Times New Roman"/>
          <w:b w:val="1"/>
          <w:bCs w:val="1"/>
          <w:i w:val="1"/>
          <w:iCs w:val="1"/>
          <w:color w:val="000000"/>
          <w:sz w:val="28"/>
          <w:szCs w:val="28"/>
          <w:rtl w:val="0"/>
        </w:rPr>
        <w:t xml:space="preserve">Điều 16. Thời hạn ra quyết định về việc hưởng miễn trừ đối với thỏa thuận hạn chế cạnh tranh bị cấm</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1. Trong thời hạn 45 ngày kể từ ngày thụ lý hồ sơ, Ủy ban Cạnh tranh Quốc gia hoàn thành việc xem xét hồ sơ và ban hành quyết định về việc hưởng miễn trừ đối với thỏa thuận hạn chế cạnh tranh bị cấm theo quy định tại khoản 3 Điều 20 của Luật Cạnh tranh.</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2. Đối với vụ việc có tình tiết phức tạp hoặc cần bổ sung, xác minh, đánh giá thêm thông tin, tài liệu hoặc thực hiện tham vấn theo quy định của Luật Cạnh tranh và Nghị định này, thời hạn quy định tại khoản 1 Điều này có thể được gia hạn một lần nhưng không quá 30 ngày.</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3. Việc gia hạn phải được Ủy ban Cạnh tranh Quốc gia thông báo bằng văn bản cho doanh nghiệp nộp hồ sơ, trong đó nêu rõ lý do gia hạn và thời hạn gia hạn. Thông báo phải được gửi chậm nhất 03 ngày làm việc trước ngày hết thời hạn quy định tại khoản 1 Điều này.</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b w:val="1"/>
          <w:bCs w:val="1"/>
          <w:i w:val="1"/>
          <w:iCs w:val="1"/>
          <w:color w:val="000000"/>
          <w:sz w:val="28"/>
          <w:szCs w:val="28"/>
          <w:rtl w:val="0"/>
        </w:rPr>
        <w:t xml:space="preserve">Điều 17. Rút hồ sơ đề nghị hưởng miễn trừ đối với thỏa thuận hạn chế cạnh tranh bị cấm</w:t>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1. Doanh nghiệp có quyền rút hồ sơ đề nghị hưởng miễn trừ đối với thỏa thuận hạn chế cạnh tranh bị cấm trước thời điểm Ủy ban Cạnh tranh Quốc gia ban hành quyết định về việc hưởng miễn trừ đối với thỏa thuận hạn chế cạnh tranh bị cấm. Đề nghị rút hồ sơ phải được lập thành văn bản và gửi đến Ủy ban Cạnh tranh Quốc gia.</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962"/>
        </w:tabs>
        <w:spacing w:before="120" w:lineRule="auto"/>
        <w:ind w:firstLine="720"/>
        <w:jc w:val="both"/>
        <w:rPr>
          <w:rFonts w:ascii="Times New Roman" w:cs="Times New Roman" w:eastAsia="Times New Roman" w:hAnsi="Times New Roman"/>
          <w:b w:val="1"/>
          <w:bCs w:val="1"/>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2. Trong thời hạn 05 ngày làm việc kể từ ngày nhận được văn bản đề nghị rút hồ sơ, Ủy ban Cạnh tranh Quốc gia ban hành thông báo trả lại hồ sơ đề nghị hưởng miễn trừ và gửi thông báo cho bên nộp hồ sơ. </w:t>
      </w: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Chương IV</w:t>
      </w: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XÁC ĐỊNH SỨC MẠNH THỊ TRƯỜNG ĐÁNG KỂ</w:t>
      </w: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w:t>
      </w:r>
      <w:r w:rsidDel="00000000" w:rsidR="00000000" w:rsidRPr="00000000">
        <w:rPr>
          <w:rFonts w:ascii="Times New Roman" w:cs="Times New Roman" w:eastAsia="Times New Roman" w:hAnsi="Times New Roman"/>
          <w:b w:val="1"/>
          <w:bCs w:val="1"/>
          <w:i w:val="1"/>
          <w:iCs w:val="1"/>
          <w:color w:val="000000"/>
          <w:sz w:val="28"/>
          <w:szCs w:val="28"/>
          <w:rtl w:val="0"/>
        </w:rPr>
        <w:t xml:space="preserve">8</w:t>
      </w:r>
      <w:r w:rsidDel="00000000" w:rsidR="00000000" w:rsidRPr="00000000">
        <w:rPr>
          <w:rFonts w:ascii="Times New Roman" w:cs="Times New Roman" w:eastAsia="Times New Roman" w:hAnsi="Times New Roman"/>
          <w:b w:val="1"/>
          <w:bCs w:val="1"/>
          <w:color w:val="000000"/>
          <w:sz w:val="28"/>
          <w:szCs w:val="28"/>
          <w:rtl w:val="0"/>
        </w:rPr>
        <w:t xml:space="preserve">. Nội dung xác định sức mạnh thị trường đáng kể của doanh nghiệp và nhóm doanh nghiệp </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Ủy ban Cạnh tranh Quốc gia xác định sức mạnh thị trường đáng kể của doanh nghiệp, nhóm doanh nghiệp quy định tại Điều 26 Luật Cạnh tranh vào một hoặc một số yếu tố như sau:</w:t>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997"/>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Tương quan thị phần giữa các doanh nghiệp trên thị trường liên quan được đánh giá trên cơ sở so sánh thị phần giữa các doanh nghiệp, nhóm doanh nghiệp trên thị trường liên quan</w:t>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990"/>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Sức mạnh tài chính, quy mô của doanh nghiệp, nhóm doanh nghiệp được đánh giá căn cứ vào năng lực tài chính, khả năng tiếp cận nguồn vốn, tín dụng và các nguồn tài chính khác, tổng nguồn vốn, tổng tài sản, số lao động, quy mô sản xuất, mạng lưới phân phối, tiêu thụ </w:t>
      </w:r>
      <w:r w:rsidDel="00000000" w:rsidR="00000000" w:rsidRPr="00000000">
        <w:rPr>
          <w:rFonts w:ascii="Times New Roman" w:cs="Times New Roman" w:eastAsia="Times New Roman" w:hAnsi="Times New Roman"/>
          <w:i w:val="1"/>
          <w:iCs w:val="1"/>
          <w:color w:val="000000"/>
          <w:sz w:val="28"/>
          <w:szCs w:val="28"/>
          <w:rtl w:val="0"/>
        </w:rPr>
        <w:t xml:space="preserve">sản phẩm, </w:t>
      </w:r>
      <w:r w:rsidDel="00000000" w:rsidR="00000000" w:rsidRPr="00000000">
        <w:rPr>
          <w:rFonts w:ascii="Times New Roman" w:cs="Times New Roman" w:eastAsia="Times New Roman" w:hAnsi="Times New Roman"/>
          <w:color w:val="000000"/>
          <w:sz w:val="28"/>
          <w:szCs w:val="28"/>
          <w:rtl w:val="0"/>
        </w:rPr>
        <w:t xml:space="preserve">hàng hóa, dịch vụ của doanh nghiệp, nhóm doanh nghiệp đó trong tương quan với các doanh nghiệp khác là đối thủ cạnh tranh;</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995"/>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Rào cản gia nhập, mở rộng thị trường đối với doanh nghiệp khác được đánh giá dựa trên những yếu tố ảnh hưởng đến việc quyết định của doanh nghiệp khi gia nhập, mở rộng thị trường quy định tại Điều 8 Nghị định này;</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93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Khả năng nắm giữ, tiếp cận, kiểm soát thị trường phân phối, tiêu thụ hàng hóa, dịch vụ hoặc nguồn cung hàng hóa, dịch vụ được đánh giá căn cứ vào ưu thế của doanh nghiệp, nhóm doanh nghiệp so với đối thủ cạnh tranh nhờ việc nắm giữ, kiểm soát mạng lưới phân phối, tiêu thụ hàng hóa, dịch vụ hoặc nguồn cung hàng hóa, dịch vụ trên thị trường;</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Lợi thế về công nghệ, hạ tầng kỹ thuật của doanh nghiệp, nhóm doanh nghiệp được đánh giá căn cứ vào ưu thế về công nghệ, hạ tầng kỹ thuật của doanh nghiệp, nhóm doanh nghiệp đang sở hữu hoặc sử dụng cho sản xuất, kinh doanh so với đối thủ cạnh tranh;</w:t>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938"/>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Quyền sở hữu, nắm giữ, tiếp cận cơ sở hạ tầng được đánh giá để xác định ưu thế của doanh nghiệp, nhóm doanh nghiệp so với đối thủ cạnh tranh căn cứ vào mức độ thiết yếu, khả năng tiếp cận cơ sở hạ tầng cho sản xuất, kinh doanh </w:t>
      </w:r>
      <w:r w:rsidDel="00000000" w:rsidR="00000000" w:rsidRPr="00000000">
        <w:rPr>
          <w:rFonts w:ascii="Times New Roman" w:cs="Times New Roman" w:eastAsia="Times New Roman" w:hAnsi="Times New Roman"/>
          <w:i w:val="1"/>
          <w:iCs w:val="1"/>
          <w:color w:val="000000"/>
          <w:sz w:val="28"/>
          <w:szCs w:val="28"/>
          <w:rtl w:val="0"/>
        </w:rPr>
        <w:t xml:space="preserve">sản phẩm, </w:t>
      </w:r>
      <w:r w:rsidDel="00000000" w:rsidR="00000000" w:rsidRPr="00000000">
        <w:rPr>
          <w:rFonts w:ascii="Times New Roman" w:cs="Times New Roman" w:eastAsia="Times New Roman" w:hAnsi="Times New Roman"/>
          <w:color w:val="000000"/>
          <w:sz w:val="28"/>
          <w:szCs w:val="28"/>
          <w:rtl w:val="0"/>
        </w:rPr>
        <w:t xml:space="preserve">hàng hóa, dịch vụ;</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938"/>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Quyền sở hữu, quyền sử dụng đối tượng quyền sở hữu trí tuệ được đánh giá để xác định ưu thế của doanh nghiệp, nhóm doanh nghiệp so với đối thủ cạnh tranh căn cứ vào mức độ thiết yếu, khả năng tiếp cận đối tượng quyền sở hữu trí tuệ của doanh nghiệp trong hoạt động sản xuất, kinh doanh </w:t>
      </w:r>
      <w:r w:rsidDel="00000000" w:rsidR="00000000" w:rsidRPr="00000000">
        <w:rPr>
          <w:rFonts w:ascii="Times New Roman" w:cs="Times New Roman" w:eastAsia="Times New Roman" w:hAnsi="Times New Roman"/>
          <w:i w:val="1"/>
          <w:iCs w:val="1"/>
          <w:color w:val="000000"/>
          <w:sz w:val="28"/>
          <w:szCs w:val="28"/>
          <w:rtl w:val="0"/>
        </w:rPr>
        <w:t xml:space="preserve">sản phẩm, </w:t>
      </w:r>
      <w:r w:rsidDel="00000000" w:rsidR="00000000" w:rsidRPr="00000000">
        <w:rPr>
          <w:rFonts w:ascii="Times New Roman" w:cs="Times New Roman" w:eastAsia="Times New Roman" w:hAnsi="Times New Roman"/>
          <w:color w:val="000000"/>
          <w:sz w:val="28"/>
          <w:szCs w:val="28"/>
          <w:rtl w:val="0"/>
        </w:rPr>
        <w:t xml:space="preserve">hàng hóa, dịch vụ;</w:t>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93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Khả năng chuyển sang nguồn cung hoặc cầu đối với các hàng hóa, dịch vụ liên quan khác được xác định dựa trên chi phí và thời gian cần thiết để khách hàng, doanh nghiệp chuyển sang mua, bán </w:t>
      </w:r>
      <w:r w:rsidDel="00000000" w:rsidR="00000000" w:rsidRPr="00000000">
        <w:rPr>
          <w:rFonts w:ascii="Times New Roman" w:cs="Times New Roman" w:eastAsia="Times New Roman" w:hAnsi="Times New Roman"/>
          <w:i w:val="1"/>
          <w:iCs w:val="1"/>
          <w:color w:val="000000"/>
          <w:sz w:val="28"/>
          <w:szCs w:val="28"/>
          <w:rtl w:val="0"/>
        </w:rPr>
        <w:t xml:space="preserve">sản phẩm, </w:t>
      </w:r>
      <w:r w:rsidDel="00000000" w:rsidR="00000000" w:rsidRPr="00000000">
        <w:rPr>
          <w:rFonts w:ascii="Times New Roman" w:cs="Times New Roman" w:eastAsia="Times New Roman" w:hAnsi="Times New Roman"/>
          <w:color w:val="000000"/>
          <w:sz w:val="28"/>
          <w:szCs w:val="28"/>
          <w:rtl w:val="0"/>
        </w:rPr>
        <w:t xml:space="preserve">hàng hóa, dịch vụ của doanh nghiệp khác trên cùng thị trường liên quan;</w:t>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93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i) Tương quan quy mô số lượng khách hàng, người sử dụng của doanh nghiệp so với các doanh nghiệp khác trên cùng thị trường liên quan; mức độ phụ thuộc của khách hàng, người sử dụng đối với sản phẩm, hàng hóa, dịch vụ của doanh nghiệp;</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93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k) Khả năng thu thập, tích lũy, kiểm soát, xử lý và khai thác dữ liệu người sử dụng, dữ liệu giao dịch và dữ liệu thị trường được đánh giá căn cứ vào khả năng của doanh nghiệp trong việc tạo lập hoặc duy trì lợi thế cạnh tranh thông qua quy mô, phạm vi, tính đa dạng, khả năng cập nhật, mức độ độc quyền hoặc khó tiếp cận của dữ liệu; khả năng kết hợp, phân tích và khai thác dữ liệu để nâng cao chất lượng sản phẩm, hàng hóa, dịch vụ, cá nhân hóa dịch vụ, cải thiện thuật toán hoặc tạo ra rào cản gia nhập, mở rộng thị trường đối với doanh nghiệp khác;</w:t>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93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l) Mức độ và phạm vi của hiệu ứng mạng trực tiếp hoặc hiệu ứng mạng gián tiếp từ các nhóm người sử dụng được đánh giá căn cứ vào mức độ gia tăng giá trị mà người sử dụng nhận được từ sản phẩm, hàng hóa, dịch vụ do sự gia tăng số lượng người sử dụng cùng nhóm hoặc sự gia tăng quy mô của nhóm người sử dụng khác của sản phẩm, hàng hóa, dịch vụ đó;</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93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m) Khả năng tạo ra hoặc duy trì rào cản đối với người bán, người mua hoặc đối tác kinh doanh khi chuyển sang sử dụng sản phẩm, hàng hóa, dịch vụ của doanh nghiệp khác được đánh giá căn cứ vào chi phí, thời gian, dữ liệu, điều kiện kỹ thuật, điều kiện hợp đồng hoặc các yếu tố khác làm hạn chế hoặc cản trở việc chuyển đổi;</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93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n) Mức độ tích hợp, liên kết các sản phẩm, dịch vụ trong cùng hệ sinh thái và khả năng tận dụng lợi thế giữa các hạ tầng trong hệ sinh thái được đánh giá căn cứ vào khả năng doanh nghiệp kết hợp, khai thác lợi thế giữa các sản phẩm, dịch vụ hoặc hạ tầng để mở rộng, củng cố hoặc duy trì sức mạnh thị trường;</w:t>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932"/>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o) Khả năng kiểm soát việc tiếp cận thị trường của doanh nghiệp khác được đánh giá căn cứ vào khả năng doanh nghiệp quyết định hoặc ảnh hưởng đáng kể đến việc doanh nghiệp khác tiếp cận khách hàng, người sử dụng, nguồn cung, kênh phân phối, hạ tầng hoặc các điều kiện cần thiết khác để tham gia và cạnh tranh trên thị trường;</w:t>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932"/>
        </w:tabs>
        <w:spacing w:before="120"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sz w:val="28"/>
          <w:szCs w:val="28"/>
          <w:rtl w:val="0"/>
        </w:rPr>
        <w:t xml:space="preserve">p) Các yếu tố đặc thù trong ngành, lĩnh vực mà doanh nghiệp, nhóm doanh nghiệp đang hoạt động kinh doanh được đánh giá để xác định ưu thế của doanh nghiệp, nhóm doanh nghiệp so với các doanh nghiệp khác trong điều kiện cụ thể của ngành, lĩnh vực đó.</w:t>
      </w: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94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Trong quá trình xác định sức mạnh thị trường đáng kể của doanh nghiệp, nhóm doanh nghiệp, Ủy ban Cạnh tranh Quốc gia có quyền tham vấn ý kiến của các cơ quan, tổ chức, cá nhân liên quan và yêu cầu các doanh nghiệp cung cấp các thông tin, tài liệu cần thiết.</w:t>
      </w:r>
    </w:p>
    <w:p w:rsidR="00000000" w:rsidDel="00000000" w:rsidP="00000000" w:rsidRDefault="00000000" w:rsidRPr="00000000" w14:paraId="000000C9">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bookmarkStart w:colFirst="0" w:colLast="0" w:name="_heading=h.7g9c7noa51qj" w:id="2"/>
      <w:bookmarkEnd w:id="2"/>
      <w:r w:rsidDel="00000000" w:rsidR="00000000" w:rsidRPr="00000000">
        <w:rPr>
          <w:rFonts w:ascii="Times New Roman" w:cs="Times New Roman" w:eastAsia="Times New Roman" w:hAnsi="Times New Roman"/>
          <w:b w:val="1"/>
          <w:bCs w:val="1"/>
          <w:color w:val="000000"/>
          <w:sz w:val="28"/>
          <w:szCs w:val="28"/>
          <w:rtl w:val="0"/>
        </w:rPr>
        <w:t xml:space="preserve">Chương V</w:t>
        <w:br w:type="textWrapping"/>
        <w:t xml:space="preserve">TẬP TRUNG KINH TẾ</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b w:val="1"/>
          <w:bCs w:val="1"/>
          <w:i w:val="1"/>
          <w:iCs w:val="1"/>
          <w:color w:val="000000"/>
          <w:sz w:val="28"/>
          <w:szCs w:val="28"/>
          <w:rtl w:val="0"/>
        </w:rPr>
        <w:t xml:space="preserve">Điều 19. Các hình thức tập trung kinh tế khác</w:t>
      </w:r>
      <w:r w:rsidDel="00000000" w:rsidR="00000000" w:rsidRPr="00000000">
        <w:rPr>
          <w:rtl w:val="0"/>
        </w:rPr>
      </w:r>
    </w:p>
    <w:p w:rsidR="00000000" w:rsidDel="00000000" w:rsidP="00000000" w:rsidRDefault="00000000" w:rsidRPr="00000000" w14:paraId="000000CC">
      <w:pP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1. Đồng kiểm soát doanh nghiệp là việc hai hoặc nhiều doanh nghiệp thỏa thuận để cùng tham gia quyết định các vấn đề quy định tại điểm c khoản 1 Điều 2 Nghị định này đối với một doanh nghiệp khác mà không doanh nghiệp nào có quyền tự mình quyết định.</w:t>
      </w:r>
    </w:p>
    <w:p w:rsidR="00000000" w:rsidDel="00000000" w:rsidP="00000000" w:rsidRDefault="00000000" w:rsidRPr="00000000" w14:paraId="000000CD">
      <w:pP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2. Thiết lập bộ phận điều hành chung là việc hai hoặc nhiều doanh nghiệp thành lập hoặc thực hiện bằng hình thức khác để có bộ phận điều hành chung theo quy định tại khoản 3 Điều 2 Nghị định này. </w:t>
      </w:r>
    </w:p>
    <w:p w:rsidR="00000000" w:rsidDel="00000000" w:rsidP="00000000" w:rsidRDefault="00000000" w:rsidRPr="00000000" w14:paraId="000000CE">
      <w:pP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3. Doanh nghiệp giành quyền kiểm soát, chi phối đối với doanh nghiệp khác theo quy định tại điểm c khoản 1 Điều 2 Nghị định này thông qua thỏa thuận hoặc các phương thức khác ngoài mua vốn góp, tài sản.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709"/>
        <w:jc w:val="both"/>
        <w:rPr>
          <w:rFonts w:ascii="Times New Roman" w:cs="Times New Roman" w:eastAsia="Times New Roman" w:hAnsi="Times New Roman"/>
          <w:b w:val="1"/>
          <w:bCs w:val="1"/>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8"/>
          <w:szCs w:val="28"/>
          <w:u w:val="none"/>
          <w:shd w:fill="auto" w:val="clear"/>
          <w:vertAlign w:val="baseline"/>
          <w:rtl w:val="0"/>
        </w:rPr>
        <w:tab/>
        <w:t xml:space="preserve">Điều 20. Các trường hợp được miễn thủ tục thông báo tập trung kinh tế</w:t>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851"/>
          <w:tab w:val="left" w:leader="none" w:pos="993"/>
        </w:tabs>
        <w:spacing w:before="120" w:lineRule="auto"/>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ab/>
        <w:t xml:space="preserve">1. Doanh nghiệp nhận hợp nhất, doanh nghiệp nhận sáp nhập, doanh nghiệp mua lại đã sở hữu trực tiếp hoặc gián tiếp trên 50% phần vốn có quyền biểu quyết của doanh nghiệp bị hợp nhất, doanh nghiệp bị sáp nhập, doanh nghiệp bị mua lại trước khi thực hiện giao dịch. </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851"/>
          <w:tab w:val="left" w:leader="none" w:pos="993"/>
        </w:tabs>
        <w:spacing w:before="120" w:lineRule="auto"/>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ab/>
        <w:t xml:space="preserve">2. Các doanh nghiệp dự định tham gia giao dịch hợp nhất, sáp nhập, mua lại doanh nghiệp, liên doanh và các giao dịch Điều 19 Nghị định này cùng được một doanh nghiệp khác sở hữu trực tiếp hoặc gián tiếp trên 50% phần vốn có quyền biểu quyết.</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851"/>
          <w:tab w:val="left" w:leader="none" w:pos="993"/>
        </w:tabs>
        <w:spacing w:before="120" w:lineRule="auto"/>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ab/>
        <w:t xml:space="preserve">3. Các doanh nghiệp dự định thành lập liên doanh sở hữu trực tiếp hoặc gián tiếp trên 50% phần vốn có quyền biểu quyết của nhau. </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851"/>
          <w:tab w:val="left" w:leader="none" w:pos="993"/>
        </w:tabs>
        <w:spacing w:before="120" w:lineRule="auto"/>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ab/>
        <w:t xml:space="preserve">4. Việc tập trung kinh tế giữa các doanh nghiệp đã được Thủ tướng Chính phủ phê duyệt hoặc quyết định theo quy định của pháp luật.  </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851"/>
          <w:tab w:val="left" w:leader="none" w:pos="993"/>
        </w:tabs>
        <w:spacing w:before="120" w:lineRule="auto"/>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ab/>
        <w:t xml:space="preserve">Điều 21. Ngưỡng thông báo tập trung kinh tế </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904"/>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Các doanh nghiệp dự định tham gia tập trung kinh tế, trừ các doanh nghiệp quy định tại khoản 2 Điều này, theo quy định tại khoản 1 Điều 33 của Luật Cạnh tranh, phải thông báo cho Ủy ban Cạnh tranh Quốc gia trước khi thực hiện tập trung kinh tế nếu thuộc trong một trong các trường hợp sau đây: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921"/>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Tổng tài sản trên thị trường Việt Nam của doanh nghiệp hoặc nhóm doanh nghiệp liên kết mà doanh nghiệp đó là thành viên đạt </w:t>
      </w:r>
      <w:r w:rsidDel="00000000" w:rsidR="00000000" w:rsidRPr="00000000">
        <w:rPr>
          <w:rFonts w:ascii="Times New Roman" w:cs="Times New Roman" w:eastAsia="Times New Roman" w:hAnsi="Times New Roman"/>
          <w:i w:val="1"/>
          <w:iCs w:val="1"/>
          <w:color w:val="000000"/>
          <w:sz w:val="28"/>
          <w:szCs w:val="28"/>
          <w:rtl w:val="0"/>
        </w:rPr>
        <w:t xml:space="preserve">6.000</w:t>
      </w:r>
      <w:r w:rsidDel="00000000" w:rsidR="00000000" w:rsidRPr="00000000">
        <w:rPr>
          <w:rFonts w:ascii="Times New Roman" w:cs="Times New Roman" w:eastAsia="Times New Roman" w:hAnsi="Times New Roman"/>
          <w:color w:val="000000"/>
          <w:sz w:val="28"/>
          <w:szCs w:val="28"/>
          <w:rtl w:val="0"/>
        </w:rPr>
        <w:t xml:space="preserve"> tỷ đồng trở lên trong năm tài chính liền kề trước năm dự kiến thực hiện tập trung kinh tế;</w:t>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94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Tổng doanh thu bán ra hoặc doanh số mua vào trên thị trường Việt Nam của doanh nghiệp hoặc nhóm doanh nghiệp liên kết mà doanh nghiệp đó là thành viên đạt </w:t>
      </w:r>
      <w:r w:rsidDel="00000000" w:rsidR="00000000" w:rsidRPr="00000000">
        <w:rPr>
          <w:rFonts w:ascii="Times New Roman" w:cs="Times New Roman" w:eastAsia="Times New Roman" w:hAnsi="Times New Roman"/>
          <w:i w:val="1"/>
          <w:iCs w:val="1"/>
          <w:color w:val="000000"/>
          <w:sz w:val="28"/>
          <w:szCs w:val="28"/>
          <w:rtl w:val="0"/>
        </w:rPr>
        <w:t xml:space="preserve">6.000</w:t>
      </w:r>
      <w:r w:rsidDel="00000000" w:rsidR="00000000" w:rsidRPr="00000000">
        <w:rPr>
          <w:rFonts w:ascii="Times New Roman" w:cs="Times New Roman" w:eastAsia="Times New Roman" w:hAnsi="Times New Roman"/>
          <w:color w:val="000000"/>
          <w:sz w:val="28"/>
          <w:szCs w:val="28"/>
          <w:rtl w:val="0"/>
        </w:rPr>
        <w:t xml:space="preserve"> tỷ đồng trở lên trong năm tài chính liền kề trước năm dự kiến thực hiện tập trung kinh tế;</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973"/>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Giá trị giao dịch của tập trung kinh tế từ </w:t>
      </w:r>
      <w:r w:rsidDel="00000000" w:rsidR="00000000" w:rsidRPr="00000000">
        <w:rPr>
          <w:rFonts w:ascii="Times New Roman" w:cs="Times New Roman" w:eastAsia="Times New Roman" w:hAnsi="Times New Roman"/>
          <w:i w:val="1"/>
          <w:iCs w:val="1"/>
          <w:color w:val="000000"/>
          <w:sz w:val="28"/>
          <w:szCs w:val="28"/>
          <w:rtl w:val="0"/>
        </w:rPr>
        <w:t xml:space="preserve">2.000</w:t>
      </w:r>
      <w:r w:rsidDel="00000000" w:rsidR="00000000" w:rsidRPr="00000000">
        <w:rPr>
          <w:rFonts w:ascii="Times New Roman" w:cs="Times New Roman" w:eastAsia="Times New Roman" w:hAnsi="Times New Roman"/>
          <w:color w:val="000000"/>
          <w:sz w:val="28"/>
          <w:szCs w:val="28"/>
          <w:rtl w:val="0"/>
        </w:rPr>
        <w:t xml:space="preserve"> tỷ đồng trở lên;</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954"/>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Thị phần kết hợp của các doanh nghiệp dự định tham gia tập trung kinh tế từ 20% trở lên trên thị trường liên quan trong năm tài chính liền kề trước năm dự kiến thực hiện tập trung kinh tế.</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910"/>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Các doanh nghiệp là tổ chức tín dụng, doanh nghiệp bảo hiểm dự định tham gia tập trung kinh tế theo quy định tại khoản 1 Điều 33 của Luật Cạnh tranh phải thông báo cho Ủy ban Cạnh tranh Quốc gia trước khi thực hiện tập trung kinh tế nếu thuộc trong một trong các trường hợp sau đây:</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921"/>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Tổng tài sản trên thị trường Việt Nam của doanh nghiệp hoặc nhóm doanh nghiệp bảo hiểm liên kết mà doanh nghiệp đó là thành viên đạt 15.000 tỷ đồng trở lên trong năm tài chính liền kề trước năm dự kiến thực hiện tập trung kinh tế; tổng tài sản trên thị trường Việt Nam của tổ chức tín dụng hoặc nhóm tổ chức tín dụng liên kết mà tổ chức tín dụng đó là thành viên đạt 20% trở lên trên tổng tài sản của hệ thống các tổ chức tín dụng trên thị trường Việt Nam trong năm tài chính liền kề trước năm dự kiến thực hiện tập trung kinh tế;</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94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Tổng doanh thu bán ra hoặc doanh số mua vào trên thị trường Việt Nam của doanh nghiệp hoặc nhóm doanh nghiệp bảo hiểm liên kết mà doanh nghiệp đó là thành viên đạt 10.000 tỷ đồng trở lên trong năm tài chính liền kề trước năm dự kiến thực hiện tập trung kinh tế; tổng doanh thu trên thị trường Việt Nam của tổ chức tín dụng hoặc nhóm tổ chức tín dụng liên kết mà tổ chức tín dụng đó là thành viên đạt từ 20% trở lên trên tổng doanh thu của hệ thống các tổ chức tín dụng trong năm tài chính liền kề trước năm dự kiến thực hiện tập trung kinh tế;</w:t>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941"/>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Giá trị giao dịch của tập trung kinh tế của doanh nghiệp bảo hiểm từ 3.000 tỷ đồng trở lên; giá trị giao dịch của tập trung kinh tế của tổ chức tín dụng từ 20% trở lên trên tổng vốn điều lệ của hệ thống các tổ chức tín dụng trong năm tài chính liền kề trước năm dự kiến thực hiện tập trung kinh tế;</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974"/>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Thị phần kết hợp của các doanh nghiệp dự định tham gia tập trung kinh tế từ 20% trở lên trên thị trường liên quan trong năm tài chính liền kề trước năm dự kiến thực hiện tập trung kinh tế.</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936"/>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Trường hợp tập trung kinh tế được thực hiện ngoài lãnh thổ Việt Nam, ngưỡng thông báo tập trung kinh tế được áp dụng theo điểm a, b hoặc d của khoản 1, điểm a, b hoặc d của khoản 2 Điều này.</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b w:val="1"/>
          <w:bCs w:val="1"/>
          <w:i w:val="1"/>
          <w:iCs w:val="1"/>
          <w:color w:val="000000"/>
          <w:sz w:val="28"/>
          <w:szCs w:val="28"/>
        </w:rPr>
      </w:pPr>
      <w:r w:rsidDel="00000000" w:rsidR="00000000" w:rsidRPr="00000000">
        <w:rPr>
          <w:rFonts w:ascii="Times New Roman" w:cs="Times New Roman" w:eastAsia="Times New Roman" w:hAnsi="Times New Roman"/>
          <w:b w:val="1"/>
          <w:bCs w:val="1"/>
          <w:i w:val="1"/>
          <w:iCs w:val="1"/>
          <w:color w:val="000000"/>
          <w:sz w:val="28"/>
          <w:szCs w:val="28"/>
          <w:rtl w:val="0"/>
        </w:rPr>
        <w:t xml:space="preserve">Điều 22. Hồ sơ thông báo tập trung kinh tế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1. Doanh nghiệp nộp 01 bộ hồ sơ thông báo tập trung kinh tế bao gồm:</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a) Thông báo tập trung kinh tế theo Mẫu do Ủy ban Cạnh tranh Quốc gia ban hành;</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b) Dự thảo nội dung thỏa thuận tập trung kinh tế hoặc dự thảo hợp đồng, biên bản ghi nhớ hoặc tài liệu tương đương về việc tập trung kinh tế;</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c) Bản sao giấy chứng nhận đăng ký doanh nghiệp hoặc văn bản tương đương của từng doanh nghiệp tham gia tập trung kinh tế đối với doanh nghiệp không thành lập theo quy định pháp luật về doanh nghiệp.</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Đối với giấy tờ, tài liệu của nước ngoài thì phải được hợp pháp hóa lãnh sự theo quy định của pháp luật về hợp pháp hóa lãnh sự.</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d) Báo cáo tài chính của từng doanh nghiệp tham gia tập trung kinh tế trong 02 năm liên tiếp liền kề trước năm thông báo tập trung kinh tế hoặc báo cáo tài chính từ thời điểm thành lập đến thời điểm thông báo tập trung kinh tế đối với doanh nghiệp mới thành lập có xác nhận của tổ chức kiểm toán theo quy định của pháp luật;</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đ) Danh sách các công ty mẹ, công ty con, công ty thành viên, chi nhánh, văn phòng đại diện và các đơn vị phụ thuộc khác của từng doanh nghiệp tham gia tập trung kinh tế (nếu có);</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e) Danh sách các loại hàng hóa, dịch vụ mà từng doanh nghiệp tham gia tập trung kinh tế đang kinh doanh;</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g) Thông tin về thị phần trong lĩnh vực dự định tập trung kinh tế của từng doanh nghiệp tham gia tập trung kinh tế trong 02 năm liên tiếp liền kề trước năm thông báo tập trung kinh tế;</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h) Phương án khắc phục khả năng gây tác động hạn chế cạnh tranh của việc tập trung kinh tế;</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i) Báo cáo đánh giá tác động tích cực của việc tập trung kinh tế và các biện pháp tăng cường tác động tích cực của việc tập trung kinh tế.</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2. Tổ chức, cá nhân nộp hồ sơ thông báo tập trung kinh tế theo hình thức trực tiếp hoặc thông qua dịch vụ bưu chính hoặc trực tuyến tại Cổng Dịch vụ công quốc gia. </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3. Tổ chức, cá nhân nộp hồ sơ thông báo tập trung kinh tế chịu trách nhiệm về tính trung thực của hồ sơ. Tài liệu trong hồ sơ bằng tiếng nước ngoài thì phải kèm theo bản dịch tiếng Việt.</w:t>
      </w:r>
    </w:p>
    <w:bookmarkStart w:colFirst="0" w:colLast="0" w:name="bookmark=id.qcg6o0fr8u88" w:id="3"/>
    <w:bookmarkEnd w:id="3"/>
    <w:p w:rsidR="00000000" w:rsidDel="00000000" w:rsidP="00000000" w:rsidRDefault="00000000" w:rsidRPr="00000000" w14:paraId="000000EE">
      <w:pPr>
        <w:widowControl w:val="1"/>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b w:val="1"/>
          <w:bCs w:val="1"/>
          <w:i w:val="1"/>
          <w:iCs w:val="1"/>
          <w:color w:val="000000"/>
          <w:sz w:val="28"/>
          <w:szCs w:val="28"/>
          <w:rtl w:val="0"/>
        </w:rPr>
        <w:t xml:space="preserve">Điều 23. Tiếp nhận hồ sơ thông báo tập trung kinh tế</w:t>
      </w:r>
      <w:r w:rsidDel="00000000" w:rsidR="00000000" w:rsidRPr="00000000">
        <w:rPr>
          <w:rtl w:val="0"/>
        </w:rPr>
      </w:r>
    </w:p>
    <w:p w:rsidR="00000000" w:rsidDel="00000000" w:rsidP="00000000" w:rsidRDefault="00000000" w:rsidRPr="00000000" w14:paraId="000000EF">
      <w:pPr>
        <w:widowControl w:val="1"/>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1. Ủy ban Cạnh tranh Quốc gia có trách nhiệm tiếp nhận hồ sơ thông báo tập trung kinh tế.</w:t>
      </w:r>
    </w:p>
    <w:p w:rsidR="00000000" w:rsidDel="00000000" w:rsidP="00000000" w:rsidRDefault="00000000" w:rsidRPr="00000000" w14:paraId="000000F0">
      <w:pPr>
        <w:widowControl w:val="1"/>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2. Trong thời hạn 07 ngày làm việc kể từ ngày tiếp nhận hồ sơ thông báo tập trung kinh tế, Ủy ban Cạnh tranh Quốc gia có trách nhiệm thông báo bằng văn bản cho bên nộp hồ sơ về tính đầy đủ, hợp lệ của hồ sơ.</w:t>
      </w:r>
    </w:p>
    <w:p w:rsidR="00000000" w:rsidDel="00000000" w:rsidP="00000000" w:rsidRDefault="00000000" w:rsidRPr="00000000" w14:paraId="000000F1">
      <w:pPr>
        <w:widowControl w:val="1"/>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Trường hợp hồ sơ chưa đầy đủ, hợp lệ, Ủy ban Cạnh tranh Quốc gia có trách nhiệm thông báo bằng văn bản các nội dung cụ thể cần sửa đổi, bổ sung để các bên sửa đổi, bổ sung hồ sơ trong thời hạn 30 ngày kể từ ngày ra thông báo.</w:t>
      </w:r>
    </w:p>
    <w:p w:rsidR="00000000" w:rsidDel="00000000" w:rsidP="00000000" w:rsidRDefault="00000000" w:rsidRPr="00000000" w14:paraId="000000F2">
      <w:pPr>
        <w:widowControl w:val="1"/>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Khi kết thúc thời hạn mà bên được yêu cầu không sửa đổi, bổ sung hồ sơ hoặc sửa đổi, bổ sung không đầy đủ theo yêu cầu thì Ủy ban Cạnh tranh Quốc gia trả lại hồ sơ thông báo tập trung kinh tế.</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24. Thẩm định sơ bộ việc tập trung kinh tế</w:t>
      </w: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941"/>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1. Trong thời hạn 30 ngày kể từ ngày tiếp nhận hồ sơ thông báo tập trung kinh tế đầy đủ, hợp lệ, Ủy ban Cạnh tranh Quốc gia ra thông báo kết quả thẩm định sơ bộ việc tập trung kinh tế về một trong các nội dung sau đây: </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971"/>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Tập trung kinh tế được thực hiện;</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leader="none" w:pos="993"/>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Tập trung kinh tế phải thẩm định chính thức.</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leader="none" w:pos="95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w:t>
      </w:r>
      <w:r w:rsidDel="00000000" w:rsidR="00000000" w:rsidRPr="00000000">
        <w:rPr>
          <w:rFonts w:ascii="Times New Roman" w:cs="Times New Roman" w:eastAsia="Times New Roman" w:hAnsi="Times New Roman"/>
          <w:i w:val="1"/>
          <w:iCs w:val="1"/>
          <w:color w:val="000000"/>
          <w:sz w:val="28"/>
          <w:szCs w:val="28"/>
          <w:rtl w:val="0"/>
        </w:rPr>
        <w:t xml:space="preserve">Trừ trường hợp quy định tại khoản 3 Điều này, </w:t>
      </w:r>
      <w:r w:rsidDel="00000000" w:rsidR="00000000" w:rsidRPr="00000000">
        <w:rPr>
          <w:rFonts w:ascii="Times New Roman" w:cs="Times New Roman" w:eastAsia="Times New Roman" w:hAnsi="Times New Roman"/>
          <w:color w:val="000000"/>
          <w:sz w:val="28"/>
          <w:szCs w:val="28"/>
          <w:rtl w:val="0"/>
        </w:rPr>
        <w:t xml:space="preserve">việc tập trung kinh tế được thực hiện khi thuộc một trong các trường hợp sau:</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95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Thị phần kết hợp của các doanh nghiệp dự định tham gia tập trung kinh tế ít hơn 20% trên thị trường liên quan;</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96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Thị phần kết hợp của các doanh nghiệp dự định tham gia tập trung kinh tế từ 20% trở lên trên thị trường liên quan và tổng bình phương mức thị phần của các doanh nghiệp sau tập trung kinh tế trên thị trường liên quan thấp hơn 1.800;</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leader="none" w:pos="96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Thị phần kết hợp của các doanh nghiệp tham gia tập trung kinh tế từ 20% trở lên trên thị trường liên quan, tổng bình phương mức thị phần của các doanh nghiệp sau tập trung kinh tế trên thị trường liên quan trên 1.800 và biên độ tăng tổng bình phương mức thị phần của các doanh nghiệp trên thị trường liên quan trước và sau tập trung kinh tế thấp hơn 100;</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96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Các doanh nghiệp tham gia tập trung kinh tế có quan hệ với nhau trong chuỗi sản xuất, phân phối, cung ứng đối với một loại hàng hóa, dịch vụ nhất định hoặc ngành, nghề kinh doanh của các doanh nghiệp tham gia tập trung kinh tế là đầu vào của nhau hoặc bổ trợ cho nhau có thị phần thấp hơn 20% trên từng thị trường liên quan.</w:t>
      </w:r>
    </w:p>
    <w:bookmarkStart w:colFirst="0" w:colLast="0" w:name="bookmark=id.n2p6r22tahrw" w:id="4"/>
    <w:bookmarkEnd w:id="4"/>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969"/>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đ) Các doanh nghiệp tham gia tập trung kinh tế là các doanh nghiệp không kinh doanh trên cùng thị trường liên quan; không kinh doanh ở các công đoạn khác nhau trong cùng một chuỗi sản xuất, phân phối, cung ứng đối với một loại hàng hóa, dịch vụ nhất định và ngành, nghề kinh doanh của các doanh nghiệp tham gia tập trung kinh tế không là đầu vào của nhau và không bổ trợ cho nhau.</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969"/>
        </w:tabs>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3. Trong trường hợp các doanh nghiệp tham gia tập trung kinh tế có kinh doanh trên cùng thị trường liên quan và có quan hệ với nhau trong chuỗi sản xuất, phân phối, cung ứng đối với một loại hàng hóa, dịch vụ nhất định hoặc ngành, nghề kinh doanh của các doanh nghiệp tham gia tập trung kinh tế là đầu vào của nhau hoặc bổ trợ cho nhau thì tập trung kinh tế được thực hiện khi đồng thời thuộc trường hợp quy định tại điểm d và một trong các trường hợp quy định tại điểm a, điểm b, điểm c khoản 2 Điều này. </w:t>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96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4.</w:t>
      </w:r>
      <w:r w:rsidDel="00000000" w:rsidR="00000000" w:rsidRPr="00000000">
        <w:rPr>
          <w:rFonts w:ascii="Times New Roman" w:cs="Times New Roman" w:eastAsia="Times New Roman" w:hAnsi="Times New Roman"/>
          <w:color w:val="000000"/>
          <w:sz w:val="28"/>
          <w:szCs w:val="28"/>
          <w:rtl w:val="0"/>
        </w:rPr>
        <w:t xml:space="preserve"> Khi kết thúc thời hạn quy định tại khoản 1 Điều này mà Ủy ban Cạnh tranh Quốc gia chưa ra thông báo kết quả thẩm định sơ bộ thì việc tập trung kinh tế được thực hiện.</w:t>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96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5.</w:t>
      </w:r>
      <w:r w:rsidDel="00000000" w:rsidR="00000000" w:rsidRPr="00000000">
        <w:rPr>
          <w:rFonts w:ascii="Times New Roman" w:cs="Times New Roman" w:eastAsia="Times New Roman" w:hAnsi="Times New Roman"/>
          <w:color w:val="000000"/>
          <w:sz w:val="28"/>
          <w:szCs w:val="28"/>
          <w:rtl w:val="0"/>
        </w:rPr>
        <w:t xml:space="preserve"> Tập trung kinh tế được thẩm định chính thức khi không thuộc các trường hợp quy định tại </w:t>
      </w:r>
      <w:r w:rsidDel="00000000" w:rsidR="00000000" w:rsidRPr="00000000">
        <w:rPr>
          <w:rFonts w:ascii="Times New Roman" w:cs="Times New Roman" w:eastAsia="Times New Roman" w:hAnsi="Times New Roman"/>
          <w:i w:val="1"/>
          <w:iCs w:val="1"/>
          <w:color w:val="000000"/>
          <w:sz w:val="28"/>
          <w:szCs w:val="28"/>
          <w:rtl w:val="0"/>
        </w:rPr>
        <w:t xml:space="preserve">khoản 2, khoản 3 và khoản 4</w:t>
      </w:r>
      <w:r w:rsidDel="00000000" w:rsidR="00000000" w:rsidRPr="00000000">
        <w:rPr>
          <w:rFonts w:ascii="Times New Roman" w:cs="Times New Roman" w:eastAsia="Times New Roman" w:hAnsi="Times New Roman"/>
          <w:color w:val="000000"/>
          <w:sz w:val="28"/>
          <w:szCs w:val="28"/>
          <w:rtl w:val="0"/>
        </w:rPr>
        <w:t xml:space="preserve"> Điều này.</w:t>
      </w:r>
    </w:p>
    <w:p w:rsidR="00000000" w:rsidDel="00000000" w:rsidP="00000000" w:rsidRDefault="00000000" w:rsidRPr="00000000" w14:paraId="00000100">
      <w:pPr>
        <w:widowControl w:val="1"/>
        <w:spacing w:before="120" w:lineRule="auto"/>
        <w:ind w:firstLine="720"/>
        <w:jc w:val="both"/>
        <w:rPr>
          <w:rFonts w:ascii="Times New Roman" w:cs="Times New Roman" w:eastAsia="Times New Roman" w:hAnsi="Times New Roman"/>
          <w:b w:val="1"/>
          <w:bCs w:val="1"/>
          <w:i w:val="1"/>
          <w:iCs w:val="1"/>
          <w:color w:val="000000"/>
          <w:sz w:val="28"/>
          <w:szCs w:val="28"/>
        </w:rPr>
      </w:pPr>
      <w:r w:rsidDel="00000000" w:rsidR="00000000" w:rsidRPr="00000000">
        <w:rPr>
          <w:rFonts w:ascii="Times New Roman" w:cs="Times New Roman" w:eastAsia="Times New Roman" w:hAnsi="Times New Roman"/>
          <w:b w:val="1"/>
          <w:bCs w:val="1"/>
          <w:i w:val="1"/>
          <w:iCs w:val="1"/>
          <w:color w:val="000000"/>
          <w:sz w:val="28"/>
          <w:szCs w:val="28"/>
          <w:rtl w:val="0"/>
        </w:rPr>
        <w:t xml:space="preserve">Điều 25. Thẩm định chính thức việc tập trung kinh tế </w:t>
      </w:r>
    </w:p>
    <w:p w:rsidR="00000000" w:rsidDel="00000000" w:rsidP="00000000" w:rsidRDefault="00000000" w:rsidRPr="00000000" w14:paraId="00000101">
      <w:pPr>
        <w:widowControl w:val="1"/>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1. Ủy ban Cạnh tranh Quốc gia thẩm định chính thức việc tập trung kinh tế trong thời hạn 90 ngày kể từ ngày ra thông báo kết quả thẩm định sơ bộ với nội dung quy định tại điểm b khoản 2 Điều 36 của Luật Cạnh tranh.</w:t>
      </w:r>
    </w:p>
    <w:p w:rsidR="00000000" w:rsidDel="00000000" w:rsidP="00000000" w:rsidRDefault="00000000" w:rsidRPr="00000000" w14:paraId="00000102">
      <w:pPr>
        <w:widowControl w:val="1"/>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Đối với vụ việc phức tạp, Ủy ban Cạnh tranh Quốc gia có thể gia hạn thẩm định chính thức nhưng không quá 60 ngày và thông báo bằng văn bản cho doanh nghiệp nộp hồ sơ thông báo tập trung kinh tế.</w:t>
      </w:r>
    </w:p>
    <w:p w:rsidR="00000000" w:rsidDel="00000000" w:rsidP="00000000" w:rsidRDefault="00000000" w:rsidRPr="00000000" w14:paraId="00000103">
      <w:pPr>
        <w:widowControl w:val="1"/>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2. Trong quá trình thẩm định chính thức việc tập trung kinh tế, Ủy ban Cạnh tranh Quốc gia yêu cầu doanh nghiệp nộp hồ sơ thông báo tập trung kinh tế bổ sung thông tin, tài liệu nhưng không quá 02 lần.</w:t>
      </w:r>
    </w:p>
    <w:p w:rsidR="00000000" w:rsidDel="00000000" w:rsidP="00000000" w:rsidRDefault="00000000" w:rsidRPr="00000000" w14:paraId="00000104">
      <w:pPr>
        <w:widowControl w:val="1"/>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Doanh nghiệp nộp hồ sơ thông báo tập trung kinh tế có trách nhiệm bổ sung thông tin, tài liệu liên quan đến việc tập trung kinh tế và chịu trách nhiệm về tính đầy đủ, chính xác của thông tin, tài liệu bổ sung theo yêu cầu của Ủy ban Cạnh tranh Quốc gia.</w:t>
      </w:r>
    </w:p>
    <w:p w:rsidR="00000000" w:rsidDel="00000000" w:rsidP="00000000" w:rsidRDefault="00000000" w:rsidRPr="00000000" w14:paraId="00000105">
      <w:pPr>
        <w:widowControl w:val="1"/>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Trường hợp bên được yêu cầu không bổ sung hoặc bổ sung không đầy đủ thông tin, tài liệu theo yêu cầu, Ủy ban Cạnh tranh Quốc gia xem xét, quyết định trên cơ sở thông tin, tài liệu đã có.</w:t>
      </w:r>
    </w:p>
    <w:p w:rsidR="00000000" w:rsidDel="00000000" w:rsidP="00000000" w:rsidRDefault="00000000" w:rsidRPr="00000000" w14:paraId="00000106">
      <w:pPr>
        <w:widowControl w:val="1"/>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3. Thời gian bổ sung thông tin, tài liệu quy định tại khoản 2 Điều này không được tính vào thời hạn thẩm định tập trung kinh tế quy định tại khoản 1 Điều này.</w:t>
      </w:r>
    </w:p>
    <w:p w:rsidR="00000000" w:rsidDel="00000000" w:rsidP="00000000" w:rsidRDefault="00000000" w:rsidRPr="00000000" w14:paraId="00000107">
      <w:pPr>
        <w:widowControl w:val="1"/>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4. Kết thúc thời hạn quy định tại khoản 1 Điều này, Ủy ban Cạnh tranh Quốc gia ra quyết định về việc tập trung kinh tế theo quy định tại Điều 41 của Luật Cạnh tranh. </w:t>
      </w:r>
    </w:p>
    <w:p w:rsidR="00000000" w:rsidDel="00000000" w:rsidP="00000000" w:rsidRDefault="00000000" w:rsidRPr="00000000" w14:paraId="00000108">
      <w:pPr>
        <w:widowControl w:val="1"/>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5. Doanh nghiệp tham gia tập trung kinh tế thuộc trường hợp quy định tại </w:t>
      </w:r>
      <w:bookmarkStart w:colFirst="0" w:colLast="0" w:name="bookmark=id.fyt7n6vxn8vd" w:id="5"/>
      <w:bookmarkEnd w:id="5"/>
      <w:r w:rsidDel="00000000" w:rsidR="00000000" w:rsidRPr="00000000">
        <w:rPr>
          <w:rFonts w:ascii="Times New Roman" w:cs="Times New Roman" w:eastAsia="Times New Roman" w:hAnsi="Times New Roman"/>
          <w:i w:val="1"/>
          <w:iCs w:val="1"/>
          <w:color w:val="000000"/>
          <w:sz w:val="28"/>
          <w:szCs w:val="28"/>
          <w:rtl w:val="0"/>
        </w:rPr>
        <w:t xml:space="preserve">điểm b khoản 1 Điều 41 của Luật Cạnh tranh yêu cầu Ủy ban Cạnh tranh Quốc gia sửa đổi, chấm dứt một phần hoặc toàn bộ các điều kiện nếu thuộc một trong các trường hợp sau:</w:t>
      </w:r>
    </w:p>
    <w:p w:rsidR="00000000" w:rsidDel="00000000" w:rsidP="00000000" w:rsidRDefault="00000000" w:rsidRPr="00000000" w14:paraId="00000109">
      <w:pPr>
        <w:widowControl w:val="1"/>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a) Quy định pháp luật thay đổi dẫn đến việc các doanh nghiệp không thể thực hiện được các điều kiện hoặc việc thực hiện điều kiện không còn phù hợp;</w:t>
      </w:r>
    </w:p>
    <w:p w:rsidR="00000000" w:rsidDel="00000000" w:rsidP="00000000" w:rsidRDefault="00000000" w:rsidRPr="00000000" w14:paraId="0000010A">
      <w:pPr>
        <w:widowControl w:val="1"/>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b) Thị phần của doanh nghiệp ít hơn 20% trên thị trường liên quan trong 02 năm liên tục kể từ sau năm doanh nghiệp thực hiện tập trung kinh tế.</w:t>
      </w:r>
    </w:p>
    <w:p w:rsidR="00000000" w:rsidDel="00000000" w:rsidP="00000000" w:rsidRDefault="00000000" w:rsidRPr="00000000" w14:paraId="0000010B">
      <w:pPr>
        <w:widowControl w:val="1"/>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c) Tổng bình phương mức thị phần của các doanh nghiệp trên thị trường liên quan thấp hơn 1.800 trong 02 năm liên tục kể từ sau năm doanh nghiệp thực hiện tập trung kinh tế.</w:t>
      </w:r>
    </w:p>
    <w:p w:rsidR="00000000" w:rsidDel="00000000" w:rsidP="00000000" w:rsidRDefault="00000000" w:rsidRPr="00000000" w14:paraId="0000010C">
      <w:pPr>
        <w:widowControl w:val="1"/>
        <w:pBdr>
          <w:top w:space="0" w:sz="0" w:val="nil"/>
          <w:left w:space="0" w:sz="0" w:val="nil"/>
          <w:bottom w:space="0" w:sz="0" w:val="nil"/>
          <w:right w:space="0" w:sz="0" w:val="nil"/>
          <w:between w:space="0" w:sz="0" w:val="nil"/>
        </w:pBdr>
        <w:tabs>
          <w:tab w:val="left" w:leader="none" w:pos="1134"/>
        </w:tabs>
        <w:spacing w:before="120" w:lineRule="auto"/>
        <w:ind w:left="90" w:firstLine="63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6. Trong thời hạn 60 ngày kể từ ngày nhận được yêu cầu theo quy định tại khoản 5 Điều này, Ủy ban Cạnh tranh Quốc gia có văn bản trả lời yêu cầu của doanh nghiệp.</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26. Nội dung đánh giá tác động hoặc khả năng gây tác động hạn chế cạnh tranh một cách đáng kể của việc tập trung kinh tế</w:t>
      </w: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leader="none" w:pos="960"/>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Thị phần kết hợp của các doanh nghiệp tham gia tập trung kinh tế trên thị trường liên quan trước và sau tập trung kinh tế.</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Mức độ tập trung trên thị trường liên quan trước và sau khi tập trung được đánh giá để xác định nguy cơ tạo ra hoặc củng cố sức mạnh thị trường của doanh nghiệp, khả năng gia tăng phối hợp, thông đồng giữa các doanh nghiệp trên thị trường liên quan.</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Mối quan hệ của các doanh nghiệp tham gia tập trung kinh tế trong chuỗi sản xuất, phân phối, cung ứng đối với một loại hàng hóa, dịch vụ nhất định hoặc ngành, nghề kinh doanh của các doanh nghiệp tham gia tập trung kinh tế là đầu vào của nhau hoặc bổ trợ cho nhau được đánh giá để xác định khả năng các bên sau tập trung kinh tế tạo ra ưu thế cạnh tranh vượt trội so với các doanh nghiệp đối thủ cạnh tranh khác nhằm ngăn cản hoặc loại bỏ cạnh tranh gia nhập thị trường.</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Lợi thế cạnh tranh do tập trung kinh tế mang lại trên thị trường liên quan được xem xét tổng thể dựa trên các ưu thế về đặc tính sản phẩm, chuỗi sản xuất, phân phối, năng lực tài chính, thương hiệu, công nghệ, quyền sở hữu trí tuệ và các ưu thế khác của doanh nghiệp sau tập trung kinh tế trong quan hệ với đối thủ cạnh tranh trên thị trường liên quan, dẫn tới nguy cơ tạo ra hoặc củng cố sức mạnh thị trường đáng kể của doanh nghiệp hình thành sau tập trung kinh tế.</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Khả năng doanh nghiệp tăng giá hoặc tăng tỷ suất lợi nhuận trên doanh thu sau tập trung kinh tế được đánh giá căn cứ vào một hoặc một số yếu tố sau đây:</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Thay đổi dự kiến về cầu trước khả năng doanh nghiệp sau tập trung kinh tế tăng giá, thay đổi sản lượng hoặc điều kiện giao dịch của hàng hóa, dịch vụ trên thị trường liên quan;</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leader="none" w:pos="977"/>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Thay đổi dự kiến về cung của các doanh nghiệp là đối thủ cạnh tranh trên thị trường liên quan trước khả năng doanh nghiệp sau tập trung kinh tế tăng giá, thay đổi sản lượng hoặc điều kiện giao dịch của hàng hóa, dịch vụ;</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965"/>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Thay đổi dự kiến về giá, sản lượng, điều kiện giao dịch của doanh nghiệp cung ứng hàng hóa, dịch vụ là các yếu tố đầu vào cho các doanh nghiệp tham gia tập trung kinh tế;</w:t>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leader="none" w:pos="987"/>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Điều kiện và nguy cơ các doanh nghiệp là đối thủ cạnh tranh trên thị trường gia tăng phối hợp hoặc thỏa thuận nhằm tăng giá bán hoặc tỷ suất lợi nhuận trên doanh thu;</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Các yếu tố khác có ảnh hưởng đến khả năng tăng giá hoặc tỷ suất lợi nhuận trên doanh thu của doanh nghiệp sau tập trung kinh tế.</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960"/>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Khả năng doanh nghiệp sau tập trung kinh tế loại bỏ hoặc ngăn cản doanh nghiệp khác gia nhập, mở rộng thị trường được xác định dựa trên một hoặc một số yếu tố sau đây:</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965"/>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Mức độ kiểm soát yếu tố đầu vào cho sản xuất, kinh doanh trước và sau tập trung kinh tế;</w:t>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987"/>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Đặc điểm cạnh tranh trong ngành, lĩnh vực và hành vi cạnh tranh của doanh nghiệp tham gia tập trung kinh tế trong giai đoạn trước tập trung kinh tế;</w:t>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017"/>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Rào cản gia nhập, mở rộng thị trường quy định tại Điều 8 Nghị định này;</w:t>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98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Các yếu tố khác dẫn đến khả năng doanh nghiệp sau tập trung kinh tế loại bỏ hoặc ngăn cản doanh nghiệp khác gia nhập hoặc mở rộng thị trường.</w:t>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971"/>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 Yếu tố đặc thù trong ngành, lĩnh vực mà các doanh nghiệp tham gia tập trung kinh tế được xem xét khi yếu tố đó trực tiếp ảnh hưởng hoặc thay đổi đáng kể kết quả đánh giá tác động hạn chế cạnh tranh và khả năng gây tác động hạn chế cạnh tranh của tập trung kinh tế quy định tại Điều này.</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w:t>
      </w:r>
      <w:r w:rsidDel="00000000" w:rsidR="00000000" w:rsidRPr="00000000">
        <w:rPr>
          <w:rFonts w:ascii="Times New Roman" w:cs="Times New Roman" w:eastAsia="Times New Roman" w:hAnsi="Times New Roman"/>
          <w:b w:val="1"/>
          <w:bCs w:val="1"/>
          <w:i w:val="1"/>
          <w:iCs w:val="1"/>
          <w:color w:val="000000"/>
          <w:sz w:val="28"/>
          <w:szCs w:val="28"/>
          <w:rtl w:val="0"/>
        </w:rPr>
        <w:t xml:space="preserve">7</w:t>
      </w:r>
      <w:r w:rsidDel="00000000" w:rsidR="00000000" w:rsidRPr="00000000">
        <w:rPr>
          <w:rFonts w:ascii="Times New Roman" w:cs="Times New Roman" w:eastAsia="Times New Roman" w:hAnsi="Times New Roman"/>
          <w:b w:val="1"/>
          <w:bCs w:val="1"/>
          <w:color w:val="000000"/>
          <w:sz w:val="28"/>
          <w:szCs w:val="28"/>
          <w:rtl w:val="0"/>
        </w:rPr>
        <w:t xml:space="preserve">. Nội dung đánh giá tác động tích cực của việc tập trung kinh tế</w:t>
      </w: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Ủy ban Cạnh tranh Quốc gia đánh giá tác động tích cực của việc tập trung kinh tế căn cứ vào một trong các yếu tố hoặc kết hợp giữa các yếu tố như sau:</w:t>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leader="none" w:pos="960"/>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Tác động tích cực đến phát triển của ngành, lĩnh vực và khoa học, công nghệ theo chiến lược, quy hoạch của Nhà nước được đánh giá dựa trên khía cạnh như sau:</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976"/>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Khả năng phát huy hiệu quả kinh tế nhờ quy mô, nguồn lực của địa phương, ngành nghề, lĩnh vực và xã hội do việc tập trung kinh tế có thể mang lại phù hợp với mục tiêu đề ra trong các chiến lược, quy hoạch phát triển ngành, lĩnh vực đã được Chính phủ hoặc Thủ tướng Chính phủ phê duyệt;</w:t>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988"/>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Mức độ ứng dụng tiến bộ khoa học, cải tiến công nghệ của doanh nghiệp sau tập trung kinh tế để nâng cao năng suất, chất lượng, hiệu quả kinh doanh nhằm giảm giá thành, nâng cao chất lượng sản phẩm, dịch vụ hoặc phục vụ các lợi ích của người tiêu dùng và cộng đồng.</w:t>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955"/>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Mức độ thúc đẩy hoạt động đổi mới sáng tạo, nghiên cứu và phát triển, chuyển giao và ứng dụng khoa học, công nghệ, chuyển đổi số, chuyển đổi xanh, phát triển nguồn nhân lực khoa học và công nghệ của doanh nghiệp sau tập trung kinh tế nhằm nâng cao hiệu quả sản xuất, kinh doanh, giảm giá thành, nâng cao chất lượng sản phẩm, dịch vụ hoặc phục vụ các lợi ích của người tiêu dùng và cộng đồng.</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955"/>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Tác động tích cực đến việc phát triển doanh nghiệp nhỏ và vừa được xem xét dựa trên việc đánh giá các cơ hội và điều kiện thuận lợi cho doanh nghiệp nhỏ và vừa khi gia nhập, mở rộng thị trường hoặc tham gia vào chuỗi sản xuất, mạng lưới phân phối hàng hóa, dịch vụ do tập trung kinh tế dự kiến mang lại.</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950"/>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Tăng cường sức cạnh tranh của doanh nghiệp Việt Nam trên thị trường quốc tế được đánh giá dựa trên hệ quả tích cực của tập trung kinh tế nhờ mở rộng quy mô sản xuất, tiêu dùng trong nước, xuất khẩu hàng hóa, dịch vụ của doanh nghiệp sau tập trung kinh tế.</w:t>
      </w:r>
    </w:p>
    <w:p w:rsidR="00000000" w:rsidDel="00000000" w:rsidP="00000000" w:rsidRDefault="00000000" w:rsidRPr="00000000" w14:paraId="00000126">
      <w:pPr>
        <w:widowControl w:val="1"/>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b w:val="1"/>
          <w:bCs w:val="1"/>
          <w:i w:val="1"/>
          <w:iCs w:val="1"/>
          <w:color w:val="000000"/>
          <w:sz w:val="28"/>
          <w:szCs w:val="28"/>
          <w:rtl w:val="0"/>
        </w:rPr>
        <w:t xml:space="preserve">Điều 28. </w:t>
      </w:r>
      <w:bookmarkStart w:colFirst="0" w:colLast="0" w:name="bookmark=id.f0svqisixct3" w:id="6"/>
      <w:bookmarkEnd w:id="6"/>
      <w:r w:rsidDel="00000000" w:rsidR="00000000" w:rsidRPr="00000000">
        <w:rPr>
          <w:rFonts w:ascii="Times New Roman" w:cs="Times New Roman" w:eastAsia="Times New Roman" w:hAnsi="Times New Roman"/>
          <w:b w:val="1"/>
          <w:bCs w:val="1"/>
          <w:i w:val="1"/>
          <w:iCs w:val="1"/>
          <w:color w:val="000000"/>
          <w:sz w:val="28"/>
          <w:szCs w:val="28"/>
          <w:rtl w:val="0"/>
        </w:rPr>
        <w:t xml:space="preserve">Tham vấn trong quá trình thẩm định tập trung kinh tế</w:t>
      </w:r>
      <w:r w:rsidDel="00000000" w:rsidR="00000000" w:rsidRPr="00000000">
        <w:rPr>
          <w:rtl w:val="0"/>
        </w:rPr>
      </w:r>
    </w:p>
    <w:p w:rsidR="00000000" w:rsidDel="00000000" w:rsidP="00000000" w:rsidRDefault="00000000" w:rsidRPr="00000000" w14:paraId="00000127">
      <w:pPr>
        <w:widowControl w:val="1"/>
        <w:spacing w:before="120" w:lineRule="auto"/>
        <w:ind w:firstLine="720"/>
        <w:jc w:val="both"/>
        <w:rPr>
          <w:rFonts w:ascii="Times New Roman" w:cs="Times New Roman" w:eastAsia="Times New Roman" w:hAnsi="Times New Roman"/>
          <w:i w:val="1"/>
          <w:iCs w:val="1"/>
          <w:color w:val="000000"/>
          <w:sz w:val="28"/>
          <w:szCs w:val="28"/>
        </w:rPr>
      </w:pPr>
      <w:bookmarkStart w:colFirst="0" w:colLast="0" w:name="_heading=h.8hkdlhmrspx5" w:id="7"/>
      <w:bookmarkEnd w:id="7"/>
      <w:r w:rsidDel="00000000" w:rsidR="00000000" w:rsidRPr="00000000">
        <w:rPr>
          <w:rFonts w:ascii="Times New Roman" w:cs="Times New Roman" w:eastAsia="Times New Roman" w:hAnsi="Times New Roman"/>
          <w:i w:val="1"/>
          <w:iCs w:val="1"/>
          <w:color w:val="000000"/>
          <w:sz w:val="28"/>
          <w:szCs w:val="28"/>
          <w:rtl w:val="0"/>
        </w:rPr>
        <w:t xml:space="preserve">1. Hồ sơ tham vấn trong quá trình thẩm định tập trung kinh tế gồm:</w:t>
      </w:r>
    </w:p>
    <w:p w:rsidR="00000000" w:rsidDel="00000000" w:rsidP="00000000" w:rsidRDefault="00000000" w:rsidRPr="00000000" w14:paraId="00000128">
      <w:pPr>
        <w:widowControl w:val="1"/>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a) Văn bản của Ủy ban Cạnh tranh Quốc gia về việc tham vấn;</w:t>
      </w:r>
    </w:p>
    <w:p w:rsidR="00000000" w:rsidDel="00000000" w:rsidP="00000000" w:rsidRDefault="00000000" w:rsidRPr="00000000" w14:paraId="00000129">
      <w:pPr>
        <w:widowControl w:val="1"/>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b) Các tài liệu liên quan đến nội dung tham vấn (nếu có).</w:t>
      </w:r>
    </w:p>
    <w:p w:rsidR="00000000" w:rsidDel="00000000" w:rsidP="00000000" w:rsidRDefault="00000000" w:rsidRPr="00000000" w14:paraId="0000012A">
      <w:pPr>
        <w:pBdr>
          <w:top w:color="ffffff" w:space="0" w:sz="8" w:val="dotted"/>
          <w:left w:color="ffffff" w:space="0" w:sz="8" w:val="dotted"/>
          <w:bottom w:color="ffffff" w:space="3" w:sz="8" w:val="dotted"/>
          <w:right w:color="ffffff" w:space="29" w:sz="8" w:val="dotted"/>
        </w:pBdr>
        <w:shd w:fill="ffffff" w:val="clea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2. Trong thời hạn 10 ngày làm việc kể từ ngày nhận được văn bản yêu cầu của Ủy ban Cạnh tranh Quốc gia về việc tham vấn ý kiến, cơ quan, tổ chức, cá nhân được tham vấn có trách nhiệm trả lời bằng văn bản về nội dung được tham vấn. Văn bản trả lời được gửi qua bưu điện, trực tuyến hoặc trục liên thông văn bản quốc gia.</w:t>
      </w:r>
    </w:p>
    <w:p w:rsidR="00000000" w:rsidDel="00000000" w:rsidP="00000000" w:rsidRDefault="00000000" w:rsidRPr="00000000" w14:paraId="0000012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Chương VI</w:t>
        <w:br w:type="textWrapping"/>
        <w:t xml:space="preserve">TỐ TỤNG CẠNH TRANH</w:t>
      </w: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1</w:t>
        <w:br w:type="textWrapping"/>
        <w:t xml:space="preserve">CHỨNG CỨ</w:t>
      </w:r>
      <w:r w:rsidDel="00000000" w:rsidR="00000000" w:rsidRPr="00000000">
        <w:rPr>
          <w:rtl w:val="0"/>
        </w:rPr>
      </w:r>
    </w:p>
    <w:p w:rsidR="00000000" w:rsidDel="00000000" w:rsidP="00000000" w:rsidRDefault="00000000" w:rsidRPr="00000000" w14:paraId="0000012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w:t>
      </w:r>
      <w:r w:rsidDel="00000000" w:rsidR="00000000" w:rsidRPr="00000000">
        <w:rPr>
          <w:rFonts w:ascii="Times New Roman" w:cs="Times New Roman" w:eastAsia="Times New Roman" w:hAnsi="Times New Roman"/>
          <w:b w:val="1"/>
          <w:bCs w:val="1"/>
          <w:i w:val="1"/>
          <w:iCs w:val="1"/>
          <w:color w:val="000000"/>
          <w:sz w:val="28"/>
          <w:szCs w:val="28"/>
          <w:rtl w:val="0"/>
        </w:rPr>
        <w:t xml:space="preserve">29</w:t>
      </w:r>
      <w:r w:rsidDel="00000000" w:rsidR="00000000" w:rsidRPr="00000000">
        <w:rPr>
          <w:rFonts w:ascii="Times New Roman" w:cs="Times New Roman" w:eastAsia="Times New Roman" w:hAnsi="Times New Roman"/>
          <w:b w:val="1"/>
          <w:bCs w:val="1"/>
          <w:color w:val="000000"/>
          <w:sz w:val="28"/>
          <w:szCs w:val="28"/>
          <w:rtl w:val="0"/>
        </w:rPr>
        <w:t xml:space="preserve">. Quyền, nghĩa vụ chứng minh</w:t>
      </w: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93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Bên khiếu nại có quyền và nghĩa vụ thu thập, giao nộp tài liệu, chứng cứ và chứng minh cho khiếu nại là có căn cứ và hợp pháp.</w:t>
      </w:r>
    </w:p>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944"/>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Người có quyền lợi, nghĩa vụ liên quan có yêu cầu độc lập có quyền và nghĩa vụ cung cấp tài liệu, chứng cứ và chứng minh cho yêu cầu đó là có căn cứ và hợp pháp.</w:t>
      </w:r>
    </w:p>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944"/>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Bên bị khiếu nại, bên bị điều tra, người có quyền lợi, nghĩa vụ liên quan phản đối khiếu nại, yêu cầu của người khác đối với mình có quyền chứng minh sự phản đối đó là có căn cứ và phải đưa ra chứng cứ để chứng minh.</w:t>
      </w:r>
    </w:p>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944"/>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Cơ quan điều tra vụ việc cạnh tranh có nghĩa vụ chứng minh hành vi vi phạm pháp luật về cạnh tranh trong trường hợp quy định tại khoản 2 Điều 80 của Luật Cạnh tranh.</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w:t>
      </w:r>
      <w:r w:rsidDel="00000000" w:rsidR="00000000" w:rsidRPr="00000000">
        <w:rPr>
          <w:rFonts w:ascii="Times New Roman" w:cs="Times New Roman" w:eastAsia="Times New Roman" w:hAnsi="Times New Roman"/>
          <w:b w:val="1"/>
          <w:bCs w:val="1"/>
          <w:i w:val="1"/>
          <w:iCs w:val="1"/>
          <w:color w:val="000000"/>
          <w:sz w:val="28"/>
          <w:szCs w:val="28"/>
          <w:rtl w:val="0"/>
        </w:rPr>
        <w:t xml:space="preserve">30</w:t>
      </w:r>
      <w:r w:rsidDel="00000000" w:rsidR="00000000" w:rsidRPr="00000000">
        <w:rPr>
          <w:rFonts w:ascii="Times New Roman" w:cs="Times New Roman" w:eastAsia="Times New Roman" w:hAnsi="Times New Roman"/>
          <w:b w:val="1"/>
          <w:bCs w:val="1"/>
          <w:color w:val="000000"/>
          <w:sz w:val="28"/>
          <w:szCs w:val="28"/>
          <w:rtl w:val="0"/>
        </w:rPr>
        <w:t xml:space="preserve">. Những tình tiết, sự kiện không phải chứng minh</w:t>
      </w:r>
      <w:r w:rsidDel="00000000" w:rsidR="00000000" w:rsidRPr="00000000">
        <w:rPr>
          <w:rtl w:val="0"/>
        </w:rPr>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Những tình tiết, sự kiện sau đây không phải chứng minh:</w:t>
      </w:r>
    </w:p>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950"/>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Những tình tiết, sự kiện rõ ràng mà mọi người đều biết và được Hội đồng xử lý vụ việc hạn chế cạnh tranh hoặc Ủy ban Cạnh tranh Quốc gia thừa nhận.</w:t>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893"/>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Những tình tiết, sự kiện đã được ghi trong văn bản và được công chứng, chứng thực hợp pháp. Trường hợp có nghi ngờ về tính xác thực của tình tiết, sự kiện trong văn bản này thì Ủy ban Cạnh tranh Quốc gia có thể yêu cầu cơ quan, tổ chức, cá nhân đã cung cấp, giao nộp văn bản xuất trình văn bản gốc, bản chính.</w:t>
      </w:r>
    </w:p>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915"/>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Bên bị khiếu nại, bên bị điều tra, người có quyền lợi, nghĩa vụ liên quan thừa nhận hoặc không phản đối những tình tiết, sự kiện, tài liệu, văn bản mà một bên đưa ra thì bên đưa ra tình tiết, sự kiện, tài liệu, văn bản đó không phải chứng minh. Bên bị khiếu nại, bên bị điều tra, người có quyền lợi, nghĩa vụ liên quan có người đại diện tham gia tố tụng thì sự thừa nhận hoặc không phản đối của người đại diện được coi là sự thừa nhận của đương sự nếu không vượt quá phạm vi đại diện.</w:t>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w:t>
      </w:r>
      <w:r w:rsidDel="00000000" w:rsidR="00000000" w:rsidRPr="00000000">
        <w:rPr>
          <w:rFonts w:ascii="Times New Roman" w:cs="Times New Roman" w:eastAsia="Times New Roman" w:hAnsi="Times New Roman"/>
          <w:b w:val="1"/>
          <w:bCs w:val="1"/>
          <w:i w:val="1"/>
          <w:iCs w:val="1"/>
          <w:color w:val="000000"/>
          <w:sz w:val="28"/>
          <w:szCs w:val="28"/>
          <w:rtl w:val="0"/>
        </w:rPr>
        <w:t xml:space="preserve">31</w:t>
      </w:r>
      <w:r w:rsidDel="00000000" w:rsidR="00000000" w:rsidRPr="00000000">
        <w:rPr>
          <w:rFonts w:ascii="Times New Roman" w:cs="Times New Roman" w:eastAsia="Times New Roman" w:hAnsi="Times New Roman"/>
          <w:b w:val="1"/>
          <w:bCs w:val="1"/>
          <w:color w:val="000000"/>
          <w:sz w:val="28"/>
          <w:szCs w:val="28"/>
          <w:rtl w:val="0"/>
        </w:rPr>
        <w:t xml:space="preserve">. Giao nộp chứng cứ</w:t>
      </w: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leader="none" w:pos="915"/>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Người tham gia tố tụng cạnh tranh quy định tại Điều 66 của Luật Cạnh tranh trừ người phiên dịch có quyền và nghĩa vụ giao nộp tài liệu, chứng cứ cho Cơ quan điều tra vụ việc cạnh tranh, Hội đồng xử lý vụ việc hạn chế cạnh tranh trong quá trình điều tra, giải quyết vụ việc cạnh tranh.</w:t>
      </w:r>
    </w:p>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904"/>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Việc giao nộp chứng cứ quy định tại khoản 1 Điều này phải được lập thành biên bản. Trong biên bản phải ghi rõ tên gọi, hình thức, nội dung, đặc điểm của chứng cứ và thời gian nhận; chữ ký hoặc điểm chỉ của người giao nộp và chữ ký của người nhận và dấu của Cơ quan điều tra vụ việc cạnh tranh, Ủy ban Cạnh tranh Quốc gia. Biên bản phải lập thành hai bản, một bản lưu vào hồ sơ vụ việc cạnh tranh và một bản giao cho bên giao nộp chứng cứ giữ.</w:t>
      </w:r>
    </w:p>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904"/>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Các tài liệu, chứng cứ bằng tiếng dân tộc thiểu số, tiếng nước ngoài phải kèm theo bản dịch sang tiếng Việt được công chứng, chứng thực hợp pháp.</w:t>
      </w:r>
    </w:p>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904"/>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4. Thời gian giao nộp tài liệu, chứng cứ không được quá thời hạn điều tra quy định tại Điều 81, 87 của Luật Cạnh tranh, thời hạn điều tra bổ sung quy định tại Điều 89, 90, 91 của Luật Cạnh tranh hoặc theo yêu cầu của Chủ tịch Ủy ban Cạnh tranh Quốc gia, Hội đồng xử lý vụ việc hạn chế cạnh tranh.</w:t>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w:t>
      </w:r>
      <w:r w:rsidDel="00000000" w:rsidR="00000000" w:rsidRPr="00000000">
        <w:rPr>
          <w:rFonts w:ascii="Times New Roman" w:cs="Times New Roman" w:eastAsia="Times New Roman" w:hAnsi="Times New Roman"/>
          <w:b w:val="1"/>
          <w:bCs w:val="1"/>
          <w:i w:val="1"/>
          <w:iCs w:val="1"/>
          <w:color w:val="000000"/>
          <w:sz w:val="28"/>
          <w:szCs w:val="28"/>
          <w:rtl w:val="0"/>
        </w:rPr>
        <w:t xml:space="preserve">32</w:t>
      </w:r>
      <w:r w:rsidDel="00000000" w:rsidR="00000000" w:rsidRPr="00000000">
        <w:rPr>
          <w:rFonts w:ascii="Times New Roman" w:cs="Times New Roman" w:eastAsia="Times New Roman" w:hAnsi="Times New Roman"/>
          <w:b w:val="1"/>
          <w:bCs w:val="1"/>
          <w:color w:val="000000"/>
          <w:sz w:val="28"/>
          <w:szCs w:val="28"/>
          <w:rtl w:val="0"/>
        </w:rPr>
        <w:t xml:space="preserve">. Trưng cầu giám định, yêu cầu giám định</w:t>
      </w:r>
      <w:r w:rsidDel="00000000" w:rsidR="00000000" w:rsidRPr="00000000">
        <w:rPr>
          <w:rtl w:val="0"/>
        </w:rPr>
      </w:r>
    </w:p>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904"/>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Bên khiếu nại, Bên bị khiếu nại, Bên bị điều tra, Người có quyền lợi, nghĩa vụ liên quan có quyền yêu cầu Thủ trưởng Cơ quan Điều tra vụ việc cạnh tranh, Hội đồng xử lý vụ việc hạn chế cạnh tranh trưng cầu giám định hoặc tự mình đề nghị giám định trong trường hợp Thủ trưởng Cơ quan điều tra vụ việc cạnh tranh, Hội đồng xử lý vụ việc hạn chế cạnh tranh từ chối trưng cầu giám định. Quyền đề nghị giám định được thực hiện trong thời hạn điều tra, xử lý vụ việc cạnh tranh.</w:t>
      </w:r>
    </w:p>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925"/>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Theo đề nghị của Bên khiếu nại, Bên bị khiếu nại, Bên bị điều tra, Người có quyền lợi, nghĩa vụ liên quan hoặc khi xét thấy cần thiết, Thủ trưởng Cơ quan Điều tra vụ việc cạnh tranh, Hội đồng xử lý vụ việc hạn chế cạnh tranh ra quyết định trưng cầu giám định. Trong quyết định trưng cầu giám định phải ghi rõ tên, địa chỉ của người giám định, đối tượng cần giám định, những vấn đề cần giám định, các yêu cầu cụ thể cần có kết luận của người giám định.</w:t>
      </w:r>
    </w:p>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907"/>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Trường hợp xét thấy kết luận giám định chưa rõ ràng thì theo yêu cầu của Bên khiếu nại, Bên bị khiếu nại, Bên bị điều tra, Người có quyền lợi, nghĩa vụ liên quan hoặc khi xét thấy cần thiết, Thủ trưởng Cơ quan Điều tra vụ việc cạnh tranh, Hội đồng xử lý vụ việc hạn chế cạnh tranh yêu cầu người giám định giải thích kết luận giám định, triệu tập người giám định để trực tiếp trình bày về nội dung liên quan.</w:t>
      </w:r>
    </w:p>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91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Theo yêu cầu của Bên khiếu nại, Bên bị khiếu nại, Bên bị điều tra, Người có quyền lợi, nghĩa vụ liên quan hoặc khi xét thấy cần thiết, Thủ trưởng Cơ quan Điều tra vụ việc cạnh tranh, Hội đồng xử lý vụ việc hạn chế cạnh tranh ra quyết định giám định bổ sung trong trường hợp nội dung kết luận giám định chưa rõ, chưa đầy đủ hoặc khi phát sinh vấn đề mới liên quan đến tình tiết của vụ việc cạnh tranh đã được kết luận giám định trước đó.</w:t>
      </w:r>
    </w:p>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91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Việc giám định lại được thực hiện trong trường hợp có căn cứ cho rằng kết luận giám định lần đầu không chính xác hoặc có vi phạm pháp luật.</w:t>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w:t>
      </w:r>
      <w:r w:rsidDel="00000000" w:rsidR="00000000" w:rsidRPr="00000000">
        <w:rPr>
          <w:rFonts w:ascii="Times New Roman" w:cs="Times New Roman" w:eastAsia="Times New Roman" w:hAnsi="Times New Roman"/>
          <w:b w:val="1"/>
          <w:bCs w:val="1"/>
          <w:i w:val="1"/>
          <w:iCs w:val="1"/>
          <w:color w:val="000000"/>
          <w:sz w:val="28"/>
          <w:szCs w:val="28"/>
          <w:rtl w:val="0"/>
        </w:rPr>
        <w:t xml:space="preserve">33</w:t>
      </w:r>
      <w:r w:rsidDel="00000000" w:rsidR="00000000" w:rsidRPr="00000000">
        <w:rPr>
          <w:rFonts w:ascii="Times New Roman" w:cs="Times New Roman" w:eastAsia="Times New Roman" w:hAnsi="Times New Roman"/>
          <w:b w:val="1"/>
          <w:bCs w:val="1"/>
          <w:color w:val="000000"/>
          <w:sz w:val="28"/>
          <w:szCs w:val="28"/>
          <w:rtl w:val="0"/>
        </w:rPr>
        <w:t xml:space="preserve">. Trưng cầu giám định chứng cứ bị tố cáo là giả mạo</w:t>
      </w:r>
      <w:r w:rsidDel="00000000" w:rsidR="00000000" w:rsidRPr="00000000">
        <w:rPr>
          <w:rtl w:val="0"/>
        </w:rPr>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907"/>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Trường hợp chứng cứ bị tố cáo là giả mạo thì người đưa ra chứng cứ đó có quyền rút lại; nếu không rút lại, người tố cáo có quyền đề nghị Cơ quan điều tra vụ việc cạnh tranh, Hội đồng xử lý vụ việc hạn chế cạnh tranh trưng cầu giám định.</w:t>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901"/>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Trường hợp việc giả mạo chứng cứ có dấu hiệu tội phạm thì Cơ quan điều tra vụ việc cạnh tranh, Hội đồng xử lý vụ việc hạn chế cạnh tranh chuyển cho Cơ quan điều tra có thẩm quyền xem xét theo quy định của pháp luật về tố tụng hình sự.</w:t>
      </w:r>
    </w:p>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91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Người đưa ra chứng cứ giả mạo phải bồi thường thiệt hại nếu việc giả mạo chứng cứ đó gây thiệt hại cho tổ chức, cá nhân khác và phải chịu chi phí giám định nếu Cơ quan điều tra vụ việc cạnh tranh, Hội đồng xử lý vụ việc hạn chế cạnh tranh quyết định trưng cầu giám định.</w:t>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w:t>
      </w:r>
      <w:r w:rsidDel="00000000" w:rsidR="00000000" w:rsidRPr="00000000">
        <w:rPr>
          <w:rFonts w:ascii="Times New Roman" w:cs="Times New Roman" w:eastAsia="Times New Roman" w:hAnsi="Times New Roman"/>
          <w:b w:val="1"/>
          <w:bCs w:val="1"/>
          <w:i w:val="1"/>
          <w:iCs w:val="1"/>
          <w:color w:val="000000"/>
          <w:sz w:val="28"/>
          <w:szCs w:val="28"/>
          <w:rtl w:val="0"/>
        </w:rPr>
        <w:t xml:space="preserve">34</w:t>
      </w:r>
      <w:r w:rsidDel="00000000" w:rsidR="00000000" w:rsidRPr="00000000">
        <w:rPr>
          <w:rFonts w:ascii="Times New Roman" w:cs="Times New Roman" w:eastAsia="Times New Roman" w:hAnsi="Times New Roman"/>
          <w:b w:val="1"/>
          <w:bCs w:val="1"/>
          <w:color w:val="000000"/>
          <w:sz w:val="28"/>
          <w:szCs w:val="28"/>
          <w:rtl w:val="0"/>
        </w:rPr>
        <w:t xml:space="preserve">. Ủy thác thu thập tài liệu, chứng cứ</w:t>
      </w:r>
      <w:r w:rsidDel="00000000" w:rsidR="00000000" w:rsidRPr="00000000">
        <w:rPr>
          <w:rtl w:val="0"/>
        </w:rPr>
      </w:r>
    </w:p>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901"/>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Trong quá trình xử lý vụ việc cạnh tranh, Ủy ban Cạnh tranh Quốc gia có thể ra quyết định ủy thác để cơ quan có thẩm quyền quy định tại khoản 3 Điều này lấy lời khai của người tham gia tố tụng hoặc các biện pháp khác để thu thập tài liệu, chứng cứ, xác minh tình tiết của vụ việc cạnh tranh.</w:t>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920"/>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Trong quyết định Ủy thác phải ghi rõ tên, địa chỉ của người tham gia tố tụng và những công việc cụ thể ủy thác để thu thập tài liệu, chứng cứ.</w:t>
      </w:r>
    </w:p>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leader="none" w:pos="926"/>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Trường hợp việc thu thập tài liệu, chứng cứ phải tiến hành ở nước ngoài thì theo yêu cầu của Thủ trưởng Cơ quan Điều tra vụ việc cạnh tranh, Hội đồng xử lý vụ việc hạn chế cạnh tranh, Ủy ban Cạnh tranh Quốc gia làm thủ tục ủy thác thông qua cơ quan có thẩm quyền của Việt Nam hoặc cơ quan có thẩm quyền của nước ngoài mà nước đó và Cộng hòa xã hội chủ nghĩa Việt Nam cùng là thành viên của điều ước quốc tế có quy định về vấn đề này hoặc thực hiện trên nguyên tắc có đi có lại nhưng không trái với pháp luật Việt Nam, phù hợp với pháp luật và tập quán quốc tế.</w:t>
      </w:r>
    </w:p>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926"/>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Trường hợp không thực hiện được việc ủy thác theo quy định tại khoản 1 Điều này hoặc đã thực hiện việc ủy thác nhưng không nhận được kết quả trả lời thì Ủy ban Cạnh tranh Quốc gia, Hội đồng xử lý vụ việc hạn chế cạnh tranh xử lý vụ việc cạnh tranh trên cơ sở các thông tin, chứng cứ đã có trong hồ sơ vụ việc.</w:t>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w:t>
      </w:r>
      <w:r w:rsidDel="00000000" w:rsidR="00000000" w:rsidRPr="00000000">
        <w:rPr>
          <w:rFonts w:ascii="Times New Roman" w:cs="Times New Roman" w:eastAsia="Times New Roman" w:hAnsi="Times New Roman"/>
          <w:b w:val="1"/>
          <w:bCs w:val="1"/>
          <w:i w:val="1"/>
          <w:iCs w:val="1"/>
          <w:color w:val="000000"/>
          <w:sz w:val="28"/>
          <w:szCs w:val="28"/>
          <w:rtl w:val="0"/>
        </w:rPr>
        <w:t xml:space="preserve">35</w:t>
      </w:r>
      <w:r w:rsidDel="00000000" w:rsidR="00000000" w:rsidRPr="00000000">
        <w:rPr>
          <w:rFonts w:ascii="Times New Roman" w:cs="Times New Roman" w:eastAsia="Times New Roman" w:hAnsi="Times New Roman"/>
          <w:b w:val="1"/>
          <w:bCs w:val="1"/>
          <w:color w:val="000000"/>
          <w:sz w:val="28"/>
          <w:szCs w:val="28"/>
          <w:rtl w:val="0"/>
        </w:rPr>
        <w:t xml:space="preserve">. Bảo quản chứng cứ</w:t>
      </w:r>
      <w:r w:rsidDel="00000000" w:rsidR="00000000" w:rsidRPr="00000000">
        <w:rPr>
          <w:rtl w:val="0"/>
        </w:rPr>
      </w:r>
    </w:p>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920"/>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Trường hợp chứng cứ đã được giao nộp tại Cơ quan điều tra vụ việc cạnh tranh, Hội đồng xử lý vụ việc hạn chế cạnh tranh thì tại Cơ quan điều tra vụ việc cạnh tranh, Hội đồng xử lý vụ việc hạn chế cạnh tranh chịu trách nhiệm bảo quản.</w:t>
      </w:r>
    </w:p>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915"/>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Trường hợp chứng cứ không thể giao nộp được tại Cơ quan điều tra vụ việc cạnh tranh, Hội đồng xử lý vụ việc hạn chế cạnh tranh thì người đang lưu giữ chứng cứ đó có trách nhiệm bảo quản.</w:t>
      </w:r>
    </w:p>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926"/>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Trường hợp cần giao chứng cứ cho người thứ ba bảo quản, Thủ trưởng Cơ quan điều tra vụ việc cạnh tranh, Hội đồng xử lý vụ việc hạn chế cạnh tranh ra quyết định và lập biên bản giao cho người đó bảo quản. Người nhận bảo quản phải ký tên vào biên bản, được hưởng thù lao và phải chịu trách nhiệm về việc bảo quản chứng cứ đó.</w:t>
      </w:r>
    </w:p>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944"/>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Nghiêm cấm việc hủy hoại tài liệu, chứng cứ.</w:t>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w:t>
      </w:r>
      <w:r w:rsidDel="00000000" w:rsidR="00000000" w:rsidRPr="00000000">
        <w:rPr>
          <w:rFonts w:ascii="Times New Roman" w:cs="Times New Roman" w:eastAsia="Times New Roman" w:hAnsi="Times New Roman"/>
          <w:b w:val="1"/>
          <w:bCs w:val="1"/>
          <w:i w:val="1"/>
          <w:iCs w:val="1"/>
          <w:color w:val="000000"/>
          <w:sz w:val="28"/>
          <w:szCs w:val="28"/>
          <w:rtl w:val="0"/>
        </w:rPr>
        <w:t xml:space="preserve">36</w:t>
      </w:r>
      <w:r w:rsidDel="00000000" w:rsidR="00000000" w:rsidRPr="00000000">
        <w:rPr>
          <w:rFonts w:ascii="Times New Roman" w:cs="Times New Roman" w:eastAsia="Times New Roman" w:hAnsi="Times New Roman"/>
          <w:b w:val="1"/>
          <w:bCs w:val="1"/>
          <w:color w:val="000000"/>
          <w:sz w:val="28"/>
          <w:szCs w:val="28"/>
          <w:rtl w:val="0"/>
        </w:rPr>
        <w:t xml:space="preserve">. Đánh giá chứng cứ</w:t>
      </w:r>
      <w:r w:rsidDel="00000000" w:rsidR="00000000" w:rsidRPr="00000000">
        <w:rPr>
          <w:rtl w:val="0"/>
        </w:rPr>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911"/>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Việc đánh giá chứng cứ phải đầy đủ, khách quan, toàn diện và chính xác.</w:t>
      </w:r>
    </w:p>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920"/>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Cơ quan điều tra vụ việc cạnh tranh, Hội đồng xử lý vụ việc cạnh tranh phải đánh giá từng chứng cứ, sự liên quan giữa các chứng cứ và khẳng định giá trị pháp lý của từng chứng cứ.</w:t>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w:t>
      </w:r>
      <w:r w:rsidDel="00000000" w:rsidR="00000000" w:rsidRPr="00000000">
        <w:rPr>
          <w:rFonts w:ascii="Times New Roman" w:cs="Times New Roman" w:eastAsia="Times New Roman" w:hAnsi="Times New Roman"/>
          <w:b w:val="1"/>
          <w:bCs w:val="1"/>
          <w:i w:val="1"/>
          <w:iCs w:val="1"/>
          <w:color w:val="000000"/>
          <w:sz w:val="28"/>
          <w:szCs w:val="28"/>
          <w:rtl w:val="0"/>
        </w:rPr>
        <w:t xml:space="preserve">37</w:t>
      </w:r>
      <w:r w:rsidDel="00000000" w:rsidR="00000000" w:rsidRPr="00000000">
        <w:rPr>
          <w:rFonts w:ascii="Times New Roman" w:cs="Times New Roman" w:eastAsia="Times New Roman" w:hAnsi="Times New Roman"/>
          <w:b w:val="1"/>
          <w:bCs w:val="1"/>
          <w:color w:val="000000"/>
          <w:sz w:val="28"/>
          <w:szCs w:val="28"/>
          <w:rtl w:val="0"/>
        </w:rPr>
        <w:t xml:space="preserve">. Công bố và sử dụng chứng cứ</w:t>
      </w:r>
      <w:r w:rsidDel="00000000" w:rsidR="00000000" w:rsidRPr="00000000">
        <w:rPr>
          <w:rtl w:val="0"/>
        </w:rPr>
      </w:r>
    </w:p>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94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Mọi chứng cứ được công bố và sử dụng công khai, trừ trường hợp quy định tại khoản 2 và 3 Điều này.</w:t>
      </w:r>
    </w:p>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leader="none" w:pos="943"/>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Chủ tịch Ủy ban Cạnh tranh Quốc gia, Cơ quan điều tra vụ việc cạnh tranh, Hội đồng xử lý vụ việc hạn chế cạnh tranh không công bố và sử dụng công khai các chứng cứ sau đây:</w:t>
      </w:r>
    </w:p>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954"/>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Chứng cứ thuộc bí mật nhà nước theo quy định của pháp luật;</w:t>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leader="none" w:pos="99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Chứng cứ liên quan tới thuần phong mỹ tục, bí mật nghề nghiệp, bí mật kinh doanh, bí mật cá nhân, theo yêu cầu chính đáng của người tham gia tố tụng cạnh tranh.</w:t>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964"/>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Trường hợp cần thiết, Chủ tịch Ủy ban Cạnh tranh Quốc gia, Cơ quan điều tra vụ việc cạnh tranh, Hội đồng xử lý vụ việc hạn chế cạnh tranh có quyền công bố và sử dụng công khai một số, một phần hoặc toàn bộ chứng cứ vào thời điểm thích hợp cho việc điều tra và xử lý vụ việc cạnh tranh.</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95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Cơ quan, người tiến hành tố tụng, người tham gia tố tụng phải giữ bí mật những chứng cứ thuộc trường hợp không công bố và sử dụng công khai quy định tại khoản 2 Điều này theo quy định của pháp luật.</w:t>
      </w:r>
    </w:p>
    <w:p w:rsidR="00000000" w:rsidDel="00000000" w:rsidP="00000000" w:rsidRDefault="00000000" w:rsidRPr="00000000" w14:paraId="0000015B">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5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Mục 2</w:t>
      </w:r>
      <w:r w:rsidDel="00000000" w:rsidR="00000000" w:rsidRPr="00000000">
        <w:rPr>
          <w:rtl w:val="0"/>
        </w:rPr>
      </w:r>
    </w:p>
    <w:p w:rsidR="00000000" w:rsidDel="00000000" w:rsidP="00000000" w:rsidRDefault="00000000" w:rsidRPr="00000000" w14:paraId="0000015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BIỆN PHÁP NGĂN CHẶN VÀ BẢO ĐẢM XỬ LÝ VI PHẠM HÀNH CHÍNH TRONG ĐIỀU TRA, XỬ LÝ VỤ VIỆC CẠNH TRANH</w:t>
      </w:r>
      <w:r w:rsidDel="00000000" w:rsidR="00000000" w:rsidRPr="00000000">
        <w:rPr>
          <w:rtl w:val="0"/>
        </w:rPr>
      </w:r>
    </w:p>
    <w:p w:rsidR="00000000" w:rsidDel="00000000" w:rsidP="00000000" w:rsidRDefault="00000000" w:rsidRPr="00000000" w14:paraId="0000015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w:t>
      </w:r>
      <w:r w:rsidDel="00000000" w:rsidR="00000000" w:rsidRPr="00000000">
        <w:rPr>
          <w:rFonts w:ascii="Times New Roman" w:cs="Times New Roman" w:eastAsia="Times New Roman" w:hAnsi="Times New Roman"/>
          <w:b w:val="1"/>
          <w:bCs w:val="1"/>
          <w:i w:val="1"/>
          <w:iCs w:val="1"/>
          <w:color w:val="000000"/>
          <w:sz w:val="28"/>
          <w:szCs w:val="28"/>
          <w:rtl w:val="0"/>
        </w:rPr>
        <w:t xml:space="preserve">38</w:t>
      </w:r>
      <w:r w:rsidDel="00000000" w:rsidR="00000000" w:rsidRPr="00000000">
        <w:rPr>
          <w:rFonts w:ascii="Times New Roman" w:cs="Times New Roman" w:eastAsia="Times New Roman" w:hAnsi="Times New Roman"/>
          <w:b w:val="1"/>
          <w:bCs w:val="1"/>
          <w:color w:val="000000"/>
          <w:sz w:val="28"/>
          <w:szCs w:val="28"/>
          <w:rtl w:val="0"/>
        </w:rPr>
        <w:t xml:space="preserve">. Thủ tục yêu cầu cơ quan có thẩm quyền áp dụng biện pháp ngăn chặn và bảo đảm xử lý vi phạm hành chính trong điều tra, xử lý vụ việc cạnh tranh</w:t>
      </w:r>
      <w:r w:rsidDel="00000000" w:rsidR="00000000" w:rsidRPr="00000000">
        <w:rPr>
          <w:rtl w:val="0"/>
        </w:rPr>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95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Chủ tịch Ủy ban Cạnh tranh Quốc gia yêu cầu cơ quan có thẩm quyền áp dụng biện pháp ngăn chặn và bảo đảm xử lý vi phạm hành chính trong điều tra, xử lý vụ việc cạnh tranh bằng văn bản.</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959"/>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Văn bản yêu cầu áp dụng biện pháp ngăn chặn và bảo đảm xử lý vi phạm hành chính trong điều tra, xử lý vụ việc cạnh tranh phải có các nội dung chính sau đây:</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994"/>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Ngày, tháng, năm;</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981"/>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Tên, địa chỉ của doanh nghiệp, hiệp hội ngành nghề, cơ quan, tổ chức, cá nhân bị kiến nghị áp dụng biện pháp ngăn chặn và bảo đảm xử lý vi phạm hành chính trong điều tra, xử lý vụ việc cạnh tranh;</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016"/>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Tóm tắt hành vi vi phạm pháp luật cạnh tranh;</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980"/>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Lý do cần phải áp dụng biện pháp ngăn chặn và bảo đảm xử lý vi phạm hành chính trong điều tra, xử lý vụ việc cạnh tranh;</w:t>
      </w:r>
    </w:p>
    <w:p w:rsidR="00000000" w:rsidDel="00000000" w:rsidP="00000000" w:rsidRDefault="00000000" w:rsidRPr="00000000" w14:paraId="00000166">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Thời gian, phạm vi và biện pháp ngăn chặn và bảo đảm xử lý vi phạm hành chính trong điều tra, xử lý vụ việc cạnh tranh cần được áp dụng và các kiến nghị cụ thể khác.</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963"/>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Trong thời hạn 03 ngày làm việc kể từ ngày nhận được văn bản yêu cầu, cơ quan được yêu cầu phải ra quyết định áp dụng biện pháp ngăn chặn và bảo đảm xử lý vi phạm hành chính trong điều tra, xử lý vụ việc cạnh tranh. Trường hợp cơ quan được yêu cầu từ chối áp dụng biện pháp ngăn chặn và bảo đảm xử lý vi phạm hành chính phải trả lời bằng văn bản và nêu rõ lý do.</w:t>
      </w:r>
    </w:p>
    <w:p w:rsidR="00000000" w:rsidDel="00000000" w:rsidP="00000000" w:rsidRDefault="00000000" w:rsidRPr="00000000" w14:paraId="00000168">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w:t>
      </w:r>
      <w:r w:rsidDel="00000000" w:rsidR="00000000" w:rsidRPr="00000000">
        <w:rPr>
          <w:rFonts w:ascii="Times New Roman" w:cs="Times New Roman" w:eastAsia="Times New Roman" w:hAnsi="Times New Roman"/>
          <w:b w:val="1"/>
          <w:bCs w:val="1"/>
          <w:i w:val="1"/>
          <w:iCs w:val="1"/>
          <w:color w:val="000000"/>
          <w:sz w:val="28"/>
          <w:szCs w:val="28"/>
          <w:rtl w:val="0"/>
        </w:rPr>
        <w:t xml:space="preserve">39</w:t>
      </w:r>
      <w:r w:rsidDel="00000000" w:rsidR="00000000" w:rsidRPr="00000000">
        <w:rPr>
          <w:rFonts w:ascii="Times New Roman" w:cs="Times New Roman" w:eastAsia="Times New Roman" w:hAnsi="Times New Roman"/>
          <w:b w:val="1"/>
          <w:bCs w:val="1"/>
          <w:color w:val="000000"/>
          <w:sz w:val="28"/>
          <w:szCs w:val="28"/>
          <w:rtl w:val="0"/>
        </w:rPr>
        <w:t xml:space="preserve">. Trách nhiệm phối hợp thực hiện biện pháp ngăn chặn và bảo đảm xử lý vi phạm hành chính trong điều tra, xử lý vụ việc cạnh tranh</w:t>
      </w:r>
      <w:r w:rsidDel="00000000" w:rsidR="00000000" w:rsidRPr="00000000">
        <w:rPr>
          <w:rtl w:val="0"/>
        </w:rPr>
      </w:r>
    </w:p>
    <w:p w:rsidR="00000000" w:rsidDel="00000000" w:rsidP="00000000" w:rsidRDefault="00000000" w:rsidRPr="00000000" w14:paraId="00000169">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Ủy ban Cạnh tranh Quốc gia có trách nhiệm phối hợp với cơ quan có thẩm quyền khi áp dụng biện pháp ngăn chặn và bảo đảm xử lý vi phạm hành chính trong điều tra, xử lý vụ việc cạnh tranh.</w:t>
      </w:r>
    </w:p>
    <w:p w:rsidR="00000000" w:rsidDel="00000000" w:rsidP="00000000" w:rsidRDefault="00000000" w:rsidRPr="00000000" w14:paraId="0000016A">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w:t>
      </w:r>
      <w:r w:rsidDel="00000000" w:rsidR="00000000" w:rsidRPr="00000000">
        <w:rPr>
          <w:rFonts w:ascii="Times New Roman" w:cs="Times New Roman" w:eastAsia="Times New Roman" w:hAnsi="Times New Roman"/>
          <w:b w:val="1"/>
          <w:bCs w:val="1"/>
          <w:i w:val="1"/>
          <w:iCs w:val="1"/>
          <w:color w:val="000000"/>
          <w:sz w:val="28"/>
          <w:szCs w:val="28"/>
          <w:rtl w:val="0"/>
        </w:rPr>
        <w:t xml:space="preserve">40</w:t>
      </w:r>
      <w:r w:rsidDel="00000000" w:rsidR="00000000" w:rsidRPr="00000000">
        <w:rPr>
          <w:rFonts w:ascii="Times New Roman" w:cs="Times New Roman" w:eastAsia="Times New Roman" w:hAnsi="Times New Roman"/>
          <w:b w:val="1"/>
          <w:bCs w:val="1"/>
          <w:color w:val="000000"/>
          <w:sz w:val="28"/>
          <w:szCs w:val="28"/>
          <w:rtl w:val="0"/>
        </w:rPr>
        <w:t xml:space="preserve">. Hủy bỏ việc áp dụng biện pháp ngăn chặn và bảo đảm xử lý vi phạm hành chính trong điều tra, xử lý vụ việc cạnh tranh</w:t>
      </w:r>
      <w:r w:rsidDel="00000000" w:rsidR="00000000" w:rsidRPr="00000000">
        <w:rPr>
          <w:rtl w:val="0"/>
        </w:rPr>
      </w:r>
    </w:p>
    <w:p w:rsidR="00000000" w:rsidDel="00000000" w:rsidP="00000000" w:rsidRDefault="00000000" w:rsidRPr="00000000" w14:paraId="0000016B">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Trường hợp lý do cần phải áp dụng biện pháp ngăn chặn và bảo đảm xử lý vi phạm hành chính trong điều tra, xử lý vụ việc cạnh tranh không còn thì Chủ tịch Ủy ban Cạnh tranh Quốc gia yêu cầu cơ quan có thẩm quyền hủy bỏ biện pháp đã được áp dụng.</w:t>
      </w:r>
    </w:p>
    <w:p w:rsidR="00000000" w:rsidDel="00000000" w:rsidP="00000000" w:rsidRDefault="00000000" w:rsidRPr="00000000" w14:paraId="0000016C">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6D">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Chương VII</w:t>
        <w:br w:type="textWrapping"/>
        <w:t xml:space="preserve">ĐIỀU KHOẢN THI HÀNH</w:t>
      </w:r>
      <w:r w:rsidDel="00000000" w:rsidR="00000000" w:rsidRPr="00000000">
        <w:rPr>
          <w:rtl w:val="0"/>
        </w:rPr>
      </w:r>
    </w:p>
    <w:p w:rsidR="00000000" w:rsidDel="00000000" w:rsidP="00000000" w:rsidRDefault="00000000" w:rsidRPr="00000000" w14:paraId="0000016E">
      <w:pPr>
        <w:pBdr>
          <w:top w:space="0" w:sz="0" w:val="nil"/>
          <w:left w:space="0" w:sz="0" w:val="nil"/>
          <w:bottom w:space="0" w:sz="0" w:val="nil"/>
          <w:right w:space="0" w:sz="0" w:val="nil"/>
          <w:between w:space="0" w:sz="0" w:val="nil"/>
        </w:pBdr>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6F">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b w:val="1"/>
          <w:bCs w:val="1"/>
          <w:i w:val="1"/>
          <w:iCs w:val="1"/>
          <w:color w:val="000000"/>
          <w:sz w:val="28"/>
          <w:szCs w:val="28"/>
        </w:rPr>
      </w:pPr>
      <w:r w:rsidDel="00000000" w:rsidR="00000000" w:rsidRPr="00000000">
        <w:rPr>
          <w:rFonts w:ascii="Times New Roman" w:cs="Times New Roman" w:eastAsia="Times New Roman" w:hAnsi="Times New Roman"/>
          <w:b w:val="1"/>
          <w:bCs w:val="1"/>
          <w:i w:val="1"/>
          <w:iCs w:val="1"/>
          <w:color w:val="000000"/>
          <w:sz w:val="28"/>
          <w:szCs w:val="28"/>
          <w:rtl w:val="0"/>
        </w:rPr>
        <w:t xml:space="preserve">Điều 41. Điều khoản chuyển tiếp</w:t>
      </w:r>
    </w:p>
    <w:p w:rsidR="00000000" w:rsidDel="00000000" w:rsidP="00000000" w:rsidRDefault="00000000" w:rsidRPr="00000000" w14:paraId="00000170">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1. Đối với vụ việc cạnh tranh đã được cơ quan có thẩm quyền tiếp nhận, thụ lý hoặc đang trong quá trình điều tra, xử lý trước ngày Nghị định này có hiệu lực thi hành thì tiếp tục được giải quyết theo quy định của pháp luật có hiệu lực tại thời điểm vụ việc được thụ lý, trừ trường hợp quy định của Nghị định này có lợi hơn cho tổ chức, cá nhân bị điều tra, xử lý và việc áp dụng không ảnh hưởng đến quyền, lợi ích hợp pháp của tổ chức, cá nhân khác.</w:t>
      </w:r>
    </w:p>
    <w:p w:rsidR="00000000" w:rsidDel="00000000" w:rsidP="00000000" w:rsidRDefault="00000000" w:rsidRPr="00000000" w14:paraId="00000171">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2. Đối với hành vi vi phạm pháp luật về cạnh tranh xảy ra trước ngày Nghị định này có hiệu lực thi hành nhưng vẫn đang tiếp diễn khi Nghị định này có hiệu lực thì áp dụng quy định của Nghị định này kể từ ngày Nghị định này có hiệu lực thi hành. </w:t>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3. Đối với hồ sơ thông báo tập trung kinh tế được miễn thủ tục thông báo tập trung kinh tế theo quy định tại Điều 20 Nghị định này đã được cơ quan có thẩm quyền tiếp nhận hoặc đã được đóng dấu bưu chính trước ngày Nghị định này có hiệu lực thì dừng việc giải quyết thủ tục hành chính, hoàn trả hồ sơ cho cá nhân, tổ chức nếu có yêu cầu.</w:t>
      </w:r>
    </w:p>
    <w:p w:rsidR="00000000" w:rsidDel="00000000" w:rsidP="00000000" w:rsidRDefault="00000000" w:rsidRPr="00000000" w14:paraId="00000173">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4. Đối với hồ sơ đề nghị hưởng miễn trừ đối với thỏa thuận hạn chế cạnh tranh bị cấm đã được Ủy ban Cạnh tranh Quốc gia tiếp nhận, thụ lý trước ngày Nghị định này có hiệu lực thi hành thì tiếp tục được giải quyết theo quy định của pháp luật có hiệu lực tại thời điểm hồ sơ được tiếp nhận. </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5. Trường hợp trước ngày Nghị định này có hiệu lực thi hành, tổ chức, cá nhân đã nộp hồ sơ đề nghị hưởng miễn trừ nhưng hồ sơ chưa đầy đủ, chưa đúng quy định và đang trong thời hạn hoàn thiện theo yêu cầu của Ủy ban Cạnh tranh Quốc gia thì việc tiếp nhận, thẩm định và giải quyết hồ sơ được thực hiện theo quy định của Nghị định này kể từ ngày hồ sơ được bổ sung đầy đủ, đúng quy định. </w:t>
      </w:r>
    </w:p>
    <w:p w:rsidR="00000000" w:rsidDel="00000000" w:rsidP="00000000" w:rsidRDefault="00000000" w:rsidRPr="00000000" w14:paraId="00000175">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6. Quyết định về việc hưởng miễn trừ và các quyết định khác liên quan đến miễn trừ đối với thỏa thuận hạn chế cạnh tranh bị cấm đã được cơ quan có thẩm quyền ban hành trước ngày Nghị định này có hiệu lực thi hành tiếp tục có hiệu lực cho đến khi hết thời hạn ghi trong quyết định hoặc bị sửa đổi, bổ sung, thu hồi theo quy định của pháp luật.</w:t>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w:t>
      </w:r>
      <w:r w:rsidDel="00000000" w:rsidR="00000000" w:rsidRPr="00000000">
        <w:rPr>
          <w:rFonts w:ascii="Times New Roman" w:cs="Times New Roman" w:eastAsia="Times New Roman" w:hAnsi="Times New Roman"/>
          <w:b w:val="1"/>
          <w:bCs w:val="1"/>
          <w:i w:val="1"/>
          <w:iCs w:val="1"/>
          <w:color w:val="000000"/>
          <w:sz w:val="28"/>
          <w:szCs w:val="28"/>
          <w:rtl w:val="0"/>
        </w:rPr>
        <w:t xml:space="preserve">42</w:t>
      </w:r>
      <w:r w:rsidDel="00000000" w:rsidR="00000000" w:rsidRPr="00000000">
        <w:rPr>
          <w:rFonts w:ascii="Times New Roman" w:cs="Times New Roman" w:eastAsia="Times New Roman" w:hAnsi="Times New Roman"/>
          <w:b w:val="1"/>
          <w:bCs w:val="1"/>
          <w:color w:val="000000"/>
          <w:sz w:val="28"/>
          <w:szCs w:val="28"/>
          <w:rtl w:val="0"/>
        </w:rPr>
        <w:t xml:space="preserve">. Hiệu lực thi hành</w:t>
      </w:r>
      <w:r w:rsidDel="00000000" w:rsidR="00000000" w:rsidRPr="00000000">
        <w:rPr>
          <w:rtl w:val="0"/>
        </w:rPr>
      </w:r>
    </w:p>
    <w:p w:rsidR="00000000" w:rsidDel="00000000" w:rsidP="00000000" w:rsidRDefault="00000000" w:rsidRPr="00000000" w14:paraId="00000177">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1. Nghị định này có hiệu lực thi hành kể từ ngày  tháng  năm 2027.</w:t>
      </w:r>
    </w:p>
    <w:p w:rsidR="00000000" w:rsidDel="00000000" w:rsidP="00000000" w:rsidRDefault="00000000" w:rsidRPr="00000000" w14:paraId="00000178">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2. Nghị định số 35/2020/NĐ-CP quy định chi tiết một số điều của Luật Cạnh tranh hết hiệu lực thi hành kể từ ngày Nghị định này có hiệu lực thi hành. </w:t>
      </w:r>
    </w:p>
    <w:p w:rsidR="00000000" w:rsidDel="00000000" w:rsidP="00000000" w:rsidRDefault="00000000" w:rsidRPr="00000000" w14:paraId="00000179">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w:t>
      </w:r>
      <w:r w:rsidDel="00000000" w:rsidR="00000000" w:rsidRPr="00000000">
        <w:rPr>
          <w:rFonts w:ascii="Times New Roman" w:cs="Times New Roman" w:eastAsia="Times New Roman" w:hAnsi="Times New Roman"/>
          <w:b w:val="1"/>
          <w:bCs w:val="1"/>
          <w:i w:val="1"/>
          <w:iCs w:val="1"/>
          <w:color w:val="000000"/>
          <w:sz w:val="28"/>
          <w:szCs w:val="28"/>
          <w:rtl w:val="0"/>
        </w:rPr>
        <w:t xml:space="preserve">43</w:t>
      </w:r>
      <w:r w:rsidDel="00000000" w:rsidR="00000000" w:rsidRPr="00000000">
        <w:rPr>
          <w:rFonts w:ascii="Times New Roman" w:cs="Times New Roman" w:eastAsia="Times New Roman" w:hAnsi="Times New Roman"/>
          <w:b w:val="1"/>
          <w:bCs w:val="1"/>
          <w:color w:val="000000"/>
          <w:sz w:val="28"/>
          <w:szCs w:val="28"/>
          <w:rtl w:val="0"/>
        </w:rPr>
        <w:t xml:space="preserve">. Tổ chức thực hiện</w:t>
      </w:r>
      <w:r w:rsidDel="00000000" w:rsidR="00000000" w:rsidRPr="00000000">
        <w:rPr>
          <w:rtl w:val="0"/>
        </w:rPr>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952"/>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Bộ Tài chính hướng dẫn lập, quản lý, sử dụng kinh phí để đảm bảo các chi phí phát sinh trong quá trình thẩm định hồ sơ đề nghị hưởng miễn trừ đối với thỏa thuận hạn chế cạnh tranh; trong quá trình thẩm định hồ sơ thông báo tập trung kinh tế; trong quá trình điều tra các vụ việc cạnh tranh và trong quá trình tố tụng cạnh tranh.</w:t>
      </w:r>
    </w:p>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947"/>
        </w:tabs>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Bộ trưởng Bộ Công Thương, Chủ tịch Ủy ban cạnh tranh Quốc gia chịu trách nhiệm tổ chức thi hành Nghị định này.</w:t>
      </w:r>
    </w:p>
    <w:p w:rsidR="00000000" w:rsidDel="00000000" w:rsidP="00000000" w:rsidRDefault="00000000" w:rsidRPr="00000000" w14:paraId="0000017C">
      <w:pPr>
        <w:pBdr>
          <w:top w:space="0" w:sz="0" w:val="nil"/>
          <w:left w:space="0" w:sz="0" w:val="nil"/>
          <w:bottom w:space="0" w:sz="0" w:val="nil"/>
          <w:right w:space="0" w:sz="0" w:val="nil"/>
          <w:between w:space="0" w:sz="0" w:val="nil"/>
        </w:pBdr>
        <w:spacing w:before="12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Các Bộ trưởng, Thủ trưởng cơ quan ngang bộ, Thủ trưởng cơ quan thuộc Chính phủ, Chủ tịch Ủy ban nhân dân các tỉnh, thành phố trực thuộc trung ương chịu trách nhiệm thi hành Nghị định này./.</w:t>
      </w:r>
    </w:p>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leader="none" w:pos="947"/>
        </w:tabs>
        <w:ind w:firstLine="720"/>
        <w:jc w:val="both"/>
        <w:rPr>
          <w:rFonts w:ascii="Times New Roman" w:cs="Times New Roman" w:eastAsia="Times New Roman" w:hAnsi="Times New Roman"/>
          <w:color w:val="000000"/>
          <w:sz w:val="28"/>
          <w:szCs w:val="28"/>
        </w:rPr>
      </w:pPr>
      <w:r w:rsidDel="00000000" w:rsidR="00000000" w:rsidRPr="00000000">
        <w:rPr>
          <w:rtl w:val="0"/>
        </w:rPr>
      </w:r>
    </w:p>
    <w:tbl>
      <w:tblPr>
        <w:tblStyle w:val="Table2"/>
        <w:tblW w:w="9000.0" w:type="dxa"/>
        <w:jc w:val="left"/>
        <w:tblLayout w:type="fixed"/>
        <w:tblLook w:val="0000"/>
      </w:tblPr>
      <w:tblGrid>
        <w:gridCol w:w="5580"/>
        <w:gridCol w:w="3420"/>
        <w:tblGridChange w:id="0">
          <w:tblGrid>
            <w:gridCol w:w="5580"/>
            <w:gridCol w:w="3420"/>
          </w:tblGrid>
        </w:tblGridChange>
      </w:tblGrid>
      <w:tr>
        <w:trPr>
          <w:cantSplit w:val="0"/>
          <w:tblHeader w:val="0"/>
        </w:trPr>
        <w:tc>
          <w:tcPr/>
          <w:p w:rsidR="00000000" w:rsidDel="00000000" w:rsidP="00000000" w:rsidRDefault="00000000" w:rsidRPr="00000000" w14:paraId="0000017E">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i w:val="1"/>
                <w:iCs w:val="1"/>
                <w:color w:val="000000"/>
                <w:rtl w:val="0"/>
              </w:rPr>
              <w:t xml:space="preserve">Nơi nhận:</w:t>
            </w:r>
            <w:r w:rsidDel="00000000" w:rsidR="00000000" w:rsidRPr="00000000">
              <w:rPr>
                <w:rtl w:val="0"/>
              </w:rPr>
            </w:r>
          </w:p>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leader="none" w:pos="127"/>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Ban Bí thư Trung ương Đảng;</w:t>
            </w:r>
          </w:p>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133"/>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Thủ tướng, các Phó Thủ tướng Chính phủ;</w:t>
            </w:r>
          </w:p>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leader="none" w:pos="947"/>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Các bộ, cơ quan ngang bộ, cơ quan thuộc Chính phủ;</w:t>
            </w:r>
          </w:p>
          <w:p w:rsidR="00000000" w:rsidDel="00000000" w:rsidP="00000000" w:rsidRDefault="00000000" w:rsidRPr="00000000" w14:paraId="00000182">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HĐND, UBND các tỉnh, thành phố trực thuộc trung ương;</w:t>
            </w:r>
          </w:p>
          <w:p w:rsidR="00000000" w:rsidDel="00000000" w:rsidP="00000000" w:rsidRDefault="00000000" w:rsidRPr="00000000" w14:paraId="00000183">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Văn phòng Trung ương và các Ban của Đảng;</w:t>
            </w:r>
          </w:p>
          <w:p w:rsidR="00000000" w:rsidDel="00000000" w:rsidP="00000000" w:rsidRDefault="00000000" w:rsidRPr="00000000" w14:paraId="00000184">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Văn phòng Tổng Bí thư;</w:t>
            </w:r>
          </w:p>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leader="none" w:pos="122"/>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Văn phòng Chủ tịch nước;</w:t>
            </w:r>
          </w:p>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127"/>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Hội đồng Dân tộc và các Ủy ban của Quốc hội;</w:t>
            </w:r>
          </w:p>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122"/>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Văn phòng Quốc hội;</w:t>
            </w:r>
          </w:p>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127"/>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Tòa án nhân dân tối cao;</w:t>
            </w:r>
          </w:p>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122"/>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Viện kiểm sát nhân dân tối cao;</w:t>
            </w:r>
          </w:p>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122"/>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Kiểm toán Nhà nước;</w:t>
            </w:r>
          </w:p>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leader="none" w:pos="122"/>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Ủy ban Giám sát tài chính Quốc gia;</w:t>
            </w:r>
          </w:p>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16"/>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Ngân hàng Chính sách xã hội;</w:t>
            </w:r>
          </w:p>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leader="none" w:pos="122"/>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Ngân hàng Phát triển Việt Nam;</w:t>
            </w:r>
          </w:p>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122"/>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Ủy ban Trung ương Mặt trận Tổ quốc Việt Nam;</w:t>
            </w:r>
          </w:p>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133"/>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Cơ quan trung ương của các đoàn thể;</w:t>
            </w:r>
          </w:p>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127"/>
              </w:tabs>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VPCP: BTCN, các PCN, Trợ lý TTg, TGĐ cổng TTĐT, các Vụ, Cục, đơn vị trực thuộc, Công báo; </w:t>
            </w:r>
          </w:p>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leader="none" w:pos="127"/>
              </w:tabs>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2"/>
                <w:szCs w:val="22"/>
                <w:rtl w:val="0"/>
              </w:rPr>
              <w:t xml:space="preserve">- Lưu: VT, KTTH (2b).</w:t>
            </w:r>
            <w:r w:rsidDel="00000000" w:rsidR="00000000" w:rsidRPr="00000000">
              <w:rPr>
                <w:rtl w:val="0"/>
              </w:rPr>
            </w:r>
          </w:p>
        </w:tc>
        <w:tc>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leader="none" w:pos="947"/>
              </w:tabs>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bCs w:val="1"/>
                <w:color w:val="000000"/>
                <w:sz w:val="26"/>
                <w:szCs w:val="26"/>
                <w:rtl w:val="0"/>
              </w:rPr>
              <w:t xml:space="preserve">TM. CHÍNH PHỦ</w:t>
            </w:r>
            <w:r w:rsidDel="00000000" w:rsidR="00000000" w:rsidRPr="00000000">
              <w:rPr>
                <w:rtl w:val="0"/>
              </w:rPr>
            </w:r>
          </w:p>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947"/>
              </w:tabs>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bCs w:val="1"/>
                <w:color w:val="000000"/>
                <w:sz w:val="26"/>
                <w:szCs w:val="26"/>
                <w:rtl w:val="0"/>
              </w:rPr>
              <w:t xml:space="preserve">THỦ TƯỚNG</w:t>
            </w:r>
            <w:r w:rsidDel="00000000" w:rsidR="00000000" w:rsidRPr="00000000">
              <w:rPr>
                <w:rtl w:val="0"/>
              </w:rPr>
            </w:r>
          </w:p>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leader="none" w:pos="947"/>
                <w:tab w:val="left" w:leader="none" w:pos="1094"/>
                <w:tab w:val="center" w:leader="none" w:pos="2137"/>
              </w:tabs>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ab/>
              <w:tab/>
            </w:r>
            <w:r w:rsidDel="00000000" w:rsidR="00000000" w:rsidRPr="00000000">
              <w:rPr>
                <w:rtl w:val="0"/>
              </w:rPr>
            </w:r>
          </w:p>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947"/>
                <w:tab w:val="left" w:leader="none" w:pos="1094"/>
                <w:tab w:val="center" w:leader="none" w:pos="2137"/>
              </w:tabs>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leader="none" w:pos="947"/>
                <w:tab w:val="left" w:leader="none" w:pos="1094"/>
                <w:tab w:val="center" w:leader="none" w:pos="2137"/>
              </w:tabs>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947"/>
                <w:tab w:val="left" w:leader="none" w:pos="1094"/>
                <w:tab w:val="center" w:leader="none" w:pos="2137"/>
              </w:tabs>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leader="none" w:pos="947"/>
                <w:tab w:val="left" w:leader="none" w:pos="1094"/>
                <w:tab w:val="center" w:leader="none" w:pos="2137"/>
              </w:tabs>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leader="none" w:pos="947"/>
                <w:tab w:val="left" w:leader="none" w:pos="1094"/>
                <w:tab w:val="center" w:leader="none" w:pos="2137"/>
              </w:tabs>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leader="none" w:pos="947"/>
                <w:tab w:val="left" w:leader="none" w:pos="1094"/>
                <w:tab w:val="center" w:leader="none" w:pos="2137"/>
              </w:tabs>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bCs w:val="1"/>
                <w:color w:val="000000"/>
                <w:sz w:val="26"/>
                <w:szCs w:val="26"/>
                <w:rtl w:val="0"/>
              </w:rPr>
              <w:t xml:space="preserve">Lê Minh Hưng</w:t>
            </w:r>
            <w:r w:rsidDel="00000000" w:rsidR="00000000" w:rsidRPr="00000000">
              <w:rPr>
                <w:rtl w:val="0"/>
              </w:rPr>
            </w:r>
          </w:p>
        </w:tc>
      </w:tr>
    </w:tbl>
    <w:p w:rsidR="00000000" w:rsidDel="00000000" w:rsidP="00000000" w:rsidRDefault="00000000" w:rsidRPr="00000000" w14:paraId="0000019B">
      <w:pPr>
        <w:spacing w:after="120" w:lineRule="auto"/>
        <w:ind w:firstLine="720"/>
        <w:jc w:val="both"/>
        <w:rPr>
          <w:rFonts w:ascii="Times New Roman" w:cs="Times New Roman" w:eastAsia="Times New Roman" w:hAnsi="Times New Roman"/>
          <w:color w:val="000000"/>
          <w:sz w:val="28"/>
          <w:szCs w:val="28"/>
        </w:rPr>
      </w:pPr>
      <w:r w:rsidDel="00000000" w:rsidR="00000000" w:rsidRPr="00000000">
        <w:rPr>
          <w:rtl w:val="0"/>
        </w:rPr>
      </w:r>
    </w:p>
    <w:sectPr>
      <w:headerReference r:id="rId9" w:type="default"/>
      <w:footerReference r:id="rId10" w:type="default"/>
      <w:pgSz w:h="16840" w:w="11900" w:orient="portrait"/>
      <w:pgMar w:bottom="1134" w:top="1134" w:left="1701" w:right="1134" w:header="432"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urier New"/>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102" w:hanging="360"/>
      </w:pPr>
      <w:rPr/>
    </w:lvl>
    <w:lvl w:ilvl="1">
      <w:start w:val="1"/>
      <w:numFmt w:val="lowerLetter"/>
      <w:lvlText w:val="%2."/>
      <w:lvlJc w:val="left"/>
      <w:pPr>
        <w:ind w:left="1822" w:hanging="360"/>
      </w:pPr>
      <w:rPr/>
    </w:lvl>
    <w:lvl w:ilvl="2">
      <w:start w:val="1"/>
      <w:numFmt w:val="lowerRoman"/>
      <w:lvlText w:val="%3."/>
      <w:lvlJc w:val="right"/>
      <w:pPr>
        <w:ind w:left="2542" w:hanging="180"/>
      </w:pPr>
      <w:rPr/>
    </w:lvl>
    <w:lvl w:ilvl="3">
      <w:start w:val="1"/>
      <w:numFmt w:val="decimal"/>
      <w:lvlText w:val="%4."/>
      <w:lvlJc w:val="left"/>
      <w:pPr>
        <w:ind w:left="3262" w:hanging="360"/>
      </w:pPr>
      <w:rPr/>
    </w:lvl>
    <w:lvl w:ilvl="4">
      <w:start w:val="1"/>
      <w:numFmt w:val="lowerLetter"/>
      <w:lvlText w:val="%5."/>
      <w:lvlJc w:val="left"/>
      <w:pPr>
        <w:ind w:left="3982" w:hanging="360"/>
      </w:pPr>
      <w:rPr/>
    </w:lvl>
    <w:lvl w:ilvl="5">
      <w:start w:val="1"/>
      <w:numFmt w:val="lowerRoman"/>
      <w:lvlText w:val="%6."/>
      <w:lvlJc w:val="right"/>
      <w:pPr>
        <w:ind w:left="4702" w:hanging="180"/>
      </w:pPr>
      <w:rPr/>
    </w:lvl>
    <w:lvl w:ilvl="6">
      <w:start w:val="1"/>
      <w:numFmt w:val="decimal"/>
      <w:lvlText w:val="%7."/>
      <w:lvlJc w:val="left"/>
      <w:pPr>
        <w:ind w:left="5422" w:hanging="360"/>
      </w:pPr>
      <w:rPr/>
    </w:lvl>
    <w:lvl w:ilvl="7">
      <w:start w:val="1"/>
      <w:numFmt w:val="lowerLetter"/>
      <w:lvlText w:val="%8."/>
      <w:lvlJc w:val="left"/>
      <w:pPr>
        <w:ind w:left="6142" w:hanging="360"/>
      </w:pPr>
      <w:rPr/>
    </w:lvl>
    <w:lvl w:ilvl="8">
      <w:start w:val="1"/>
      <w:numFmt w:val="lowerRoman"/>
      <w:lvlText w:val="%9."/>
      <w:lvlJc w:val="right"/>
      <w:pPr>
        <w:ind w:left="6862"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New" w:cs="Courier New" w:eastAsia="Courier New" w:hAnsi="Courier New"/>
        <w:sz w:val="24"/>
        <w:szCs w:val="24"/>
        <w:lang w:val="vi"/>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tRjVAgQ/qFDxh0fG0Aan31ktMw==">CgMxLjAyD2lkLjdrbm52bXE0d2hpNjIPaWQudDd3Yng1aWo3bmMyMg5oLjdnOWM3bm9hNTFxajIPaWQucWNnNm8wZnI4dTg4Mg9pZC5uMnA2cjIydGFocncyD2lkLmZ5dDduNnZ4bjh2ZDIPaWQuZjBzdnFpc2l4Y3QzMg5oLjhoa2RsaG1yc3B4NTgAciExemhQM0pSTEo0T0N1cVVfaXJzdEVQSzF6SXdqMHlsclI=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